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lang w:val="en-US" w:eastAsia="zh-CN"/>
        </w:rPr>
      </w:pPr>
      <w:bookmarkStart w:id="0" w:name="_Toc193024528"/>
      <w:r>
        <w:rPr>
          <w:rFonts w:hint="default" w:ascii="Arial" w:hAnsi="Arial" w:cs="Arial"/>
          <w:b/>
          <w:bCs/>
          <w:sz w:val="24"/>
          <w:szCs w:val="24"/>
          <w:lang w:val="en-US"/>
        </w:rPr>
        <w:t>3GPP TSG-RAN WG3 #117-e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default" w:ascii="Arial" w:hAnsi="Arial" w:cs="Arial"/>
          <w:b/>
          <w:bCs/>
          <w:iCs/>
          <w:sz w:val="24"/>
          <w:szCs w:val="24"/>
          <w:lang w:val="en-US"/>
        </w:rPr>
        <w:t>R3-22</w:t>
      </w:r>
      <w:r>
        <w:rPr>
          <w:rFonts w:hint="eastAsia" w:ascii="Arial" w:hAnsi="Arial" w:eastAsia="宋体" w:cs="Arial"/>
          <w:b/>
          <w:bCs/>
          <w:iCs/>
          <w:sz w:val="24"/>
          <w:szCs w:val="24"/>
          <w:lang w:val="en-US" w:eastAsia="zh-CN"/>
        </w:rPr>
        <w:t>4713</w:t>
      </w:r>
    </w:p>
    <w:p>
      <w:pPr>
        <w:overflowPunct w:val="0"/>
        <w:autoSpaceDE w:val="0"/>
        <w:jc w:val="both"/>
        <w:textAlignment w:val="baseline"/>
        <w:rPr>
          <w:rFonts w:hint="default" w:ascii="Arial" w:hAnsi="Arial" w:cs="Arial"/>
          <w:b/>
          <w:bCs/>
          <w:color w:val="000000"/>
          <w:sz w:val="24"/>
          <w:szCs w:val="24"/>
        </w:rPr>
      </w:pPr>
      <w:r>
        <w:rPr>
          <w:rFonts w:hint="default" w:ascii="Arial" w:hAnsi="Arial" w:cs="Arial"/>
          <w:b/>
          <w:bCs/>
          <w:color w:val="000000"/>
          <w:sz w:val="24"/>
          <w:szCs w:val="24"/>
        </w:rPr>
        <w:t>15</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24</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Aug 2022</w:t>
      </w:r>
    </w:p>
    <w:p>
      <w:pPr>
        <w:overflowPunct w:val="0"/>
        <w:autoSpaceDE w:val="0"/>
        <w:jc w:val="both"/>
        <w:textAlignment w:val="baseline"/>
        <w:rPr>
          <w:rFonts w:hint="default" w:ascii="Arial" w:hAnsi="Arial" w:eastAsia="Batang" w:cs="Arial"/>
          <w:b/>
          <w:bCs/>
          <w:color w:val="000000"/>
          <w:sz w:val="24"/>
          <w:szCs w:val="24"/>
        </w:rPr>
      </w:pPr>
      <w:r>
        <w:rPr>
          <w:rFonts w:hint="default" w:ascii="Arial" w:hAnsi="Arial" w:eastAsia="Batang" w:cs="Arial"/>
          <w:b/>
          <w:bCs/>
          <w:color w:val="000000"/>
          <w:sz w:val="24"/>
          <w:szCs w:val="24"/>
        </w:rPr>
        <w:t>Online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location update of UEs served by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13.3</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eastAsia" w:ascii="Times New Roman" w:hAnsi="Times New Roman" w:cs="Times New Roman"/>
          <w:lang w:val="en-US" w:eastAsia="zh-CN"/>
        </w:rPr>
        <w:t>During RAN#94 meeting, R18 mobile IAB WI was approved [1]. According to the WID, the mobile IAB is built on the R17 IAB and will focus on the scenario of mobile-IAB-nodes mounted on vehicles providing 5G coverage/capacity enhancement to on-board and/or surrounding UEs. One of the objectives is to specify the potential enhancements for mobility of an IAB-node together with its served UEs, including aspects related to group mobility as shown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57" w:type="dxa"/>
            <w:noWrap w:val="0"/>
            <w:vAlign w:val="top"/>
          </w:tcPr>
          <w:p>
            <w:pPr>
              <w:pStyle w:val="129"/>
              <w:numPr>
                <w:ilvl w:val="0"/>
                <w:numId w:val="13"/>
              </w:numPr>
              <w:spacing w:line="240" w:lineRule="auto"/>
              <w:ind w:firstLineChars="0"/>
              <w:rPr>
                <w:rFonts w:eastAsia="Times New Roman" w:cs="Times New Roman"/>
                <w:lang w:eastAsia="en-US"/>
              </w:rPr>
            </w:pPr>
            <w:r>
              <w:rPr>
                <w:rFonts w:eastAsia="Times New Roman" w:cs="Times New Roman"/>
                <w:lang w:eastAsia="en-US"/>
              </w:rPr>
              <w:t>Enhancements for mobility of an IAB-node together with its served UEs, including aspects related to group mobility. No optimizations for the targeting of surrounding UEs. [RAN3, RAN2]</w:t>
            </w:r>
          </w:p>
          <w:p>
            <w:pPr>
              <w:pStyle w:val="129"/>
              <w:spacing w:line="240" w:lineRule="auto"/>
              <w:ind w:left="720" w:firstLine="0" w:firstLineChars="0"/>
              <w:rPr>
                <w:rFonts w:hint="eastAsia" w:ascii="Times New Roman" w:hAnsi="Times New Roman" w:cs="Times New Roman"/>
                <w:color w:val="000000"/>
                <w:sz w:val="20"/>
                <w:szCs w:val="20"/>
                <w:vertAlign w:val="baseline"/>
                <w:lang w:val="en-US" w:eastAsia="zh-CN"/>
              </w:rPr>
            </w:pPr>
            <w:r>
              <w:rPr>
                <w:rFonts w:eastAsia="Times New Roman" w:cs="Times New Roman"/>
                <w:i/>
                <w:iCs/>
                <w:lang w:eastAsia="en-US"/>
              </w:rPr>
              <w:t>Note: Solutions should avoid touching upon topics where Rel-17 discussions already occurred and where the topic was excluded from Rel-17, except for enhancements that are specific to IAB-node mobility.</w:t>
            </w:r>
          </w:p>
        </w:tc>
      </w:tr>
    </w:tbl>
    <w:p>
      <w:pPr>
        <w:overflowPunct w:val="0"/>
        <w:autoSpaceDE w:val="0"/>
        <w:autoSpaceDN w:val="0"/>
        <w:adjustRightInd w:val="0"/>
        <w:spacing w:before="156" w:beforeLines="50"/>
        <w:jc w:val="both"/>
        <w:rPr>
          <w:rFonts w:hint="eastAsia"/>
          <w:highlight w:val="none"/>
          <w:lang w:val="en-US" w:eastAsia="zh-CN"/>
        </w:rPr>
      </w:pPr>
      <w:r>
        <w:rPr>
          <w:rFonts w:hint="eastAsia" w:ascii="Times New Roman" w:hAnsi="Times New Roman" w:cs="Times New Roman"/>
          <w:lang w:val="en-US" w:eastAsia="zh-CN"/>
        </w:rPr>
        <w:t xml:space="preserve">As far as we know, the RRC_IDLE/INACTIVE state is introduced for power saving purpose of UE. To be specific, </w:t>
      </w:r>
      <w:r>
        <w:rPr>
          <w:rFonts w:hint="eastAsia"/>
          <w:lang w:val="en-US" w:eastAsia="zh-CN"/>
        </w:rPr>
        <w:t xml:space="preserve">the RRC_IDLE UE does not need to perform HO when it moves across different cells. Instead, it only need to perform periodic Tracking Area Update (TAU) and event-triggered TAU </w:t>
      </w:r>
      <w:r>
        <w:t>when accessing a radio cell where none of the supported TA</w:t>
      </w:r>
      <w:r>
        <w:rPr>
          <w:rFonts w:hint="eastAsia"/>
          <w:lang w:val="en-US" w:eastAsia="zh-CN"/>
        </w:rPr>
        <w:t>I</w:t>
      </w:r>
      <w:r>
        <w:t xml:space="preserve"> </w:t>
      </w:r>
      <w:r>
        <w:rPr>
          <w:highlight w:val="none"/>
        </w:rPr>
        <w:t xml:space="preserve">is </w:t>
      </w:r>
      <w:r>
        <w:rPr>
          <w:rFonts w:hint="eastAsia"/>
          <w:highlight w:val="none"/>
          <w:lang w:val="en-US" w:eastAsia="zh-CN"/>
        </w:rPr>
        <w:t>within</w:t>
      </w:r>
      <w:r>
        <w:rPr>
          <w:highlight w:val="none"/>
        </w:rPr>
        <w:t xml:space="preserve"> the list of TAIs that the</w:t>
      </w:r>
      <w:r>
        <w:rPr>
          <w:rFonts w:hint="eastAsia"/>
          <w:highlight w:val="none"/>
          <w:lang w:val="en-US" w:eastAsia="zh-CN"/>
        </w:rPr>
        <w:t xml:space="preserve"> mobile IAB-node-MT</w:t>
      </w:r>
      <w:r>
        <w:rPr>
          <w:highlight w:val="none"/>
        </w:rPr>
        <w:t xml:space="preserve"> has </w:t>
      </w:r>
      <w:r>
        <w:rPr>
          <w:rFonts w:hint="eastAsia"/>
          <w:highlight w:val="none"/>
          <w:lang w:val="en-US" w:eastAsia="zh-CN"/>
        </w:rPr>
        <w:t>been configured</w:t>
      </w:r>
      <w:r>
        <w:rPr>
          <w:rFonts w:hint="eastAsia"/>
          <w:lang w:val="en-US" w:eastAsia="zh-CN"/>
        </w:rPr>
        <w:t xml:space="preserve">. Similarly, the RRC_INACTIVE UE does not need to resume to RRC_Connected state when it moves within the RAN-based Notification Area (RNA). </w:t>
      </w:r>
      <w:r>
        <w:rPr>
          <w:rFonts w:hint="eastAsia"/>
          <w:highlight w:val="none"/>
          <w:lang w:val="en-US" w:eastAsia="zh-CN"/>
        </w:rPr>
        <w:t xml:space="preserve">RRC_INACIVE UE may send periodic </w:t>
      </w:r>
      <w:r>
        <w:rPr>
          <w:highlight w:val="none"/>
        </w:rPr>
        <w:t xml:space="preserve">RAN-based </w:t>
      </w:r>
      <w:r>
        <w:rPr>
          <w:rFonts w:hint="eastAsia"/>
          <w:highlight w:val="none"/>
          <w:lang w:val="en-US" w:eastAsia="zh-CN"/>
        </w:rPr>
        <w:t>N</w:t>
      </w:r>
      <w:r>
        <w:rPr>
          <w:highlight w:val="none"/>
        </w:rPr>
        <w:t xml:space="preserve">otification </w:t>
      </w:r>
      <w:r>
        <w:rPr>
          <w:rFonts w:hint="eastAsia"/>
          <w:highlight w:val="none"/>
          <w:lang w:val="en-US" w:eastAsia="zh-CN"/>
        </w:rPr>
        <w:t>A</w:t>
      </w:r>
      <w:r>
        <w:rPr>
          <w:highlight w:val="none"/>
        </w:rPr>
        <w:t xml:space="preserve">rea </w:t>
      </w:r>
      <w:r>
        <w:rPr>
          <w:rFonts w:hint="eastAsia"/>
          <w:highlight w:val="none"/>
          <w:lang w:val="en-US" w:eastAsia="zh-CN"/>
        </w:rPr>
        <w:t>U</w:t>
      </w:r>
      <w:r>
        <w:rPr>
          <w:highlight w:val="none"/>
        </w:rPr>
        <w:t xml:space="preserve">pdate (RNAU) </w:t>
      </w:r>
      <w:r>
        <w:rPr>
          <w:rFonts w:hint="eastAsia"/>
          <w:highlight w:val="none"/>
          <w:lang w:val="en-US" w:eastAsia="zh-CN"/>
        </w:rPr>
        <w:t xml:space="preserve">or send RNAU </w:t>
      </w:r>
      <w:r>
        <w:rPr>
          <w:highlight w:val="none"/>
        </w:rPr>
        <w:t xml:space="preserve">when UE </w:t>
      </w:r>
      <w:r>
        <w:rPr>
          <w:rFonts w:hint="eastAsia"/>
          <w:highlight w:val="none"/>
          <w:lang w:val="en-US" w:eastAsia="zh-CN"/>
        </w:rPr>
        <w:t>re-</w:t>
      </w:r>
      <w:r>
        <w:rPr>
          <w:highlight w:val="none"/>
        </w:rPr>
        <w:t>selects a cell that does not belong to the configured RNA.</w:t>
      </w:r>
      <w:r>
        <w:rPr>
          <w:rFonts w:hint="eastAsia"/>
          <w:highlight w:val="none"/>
          <w:lang w:val="en-US" w:eastAsia="zh-CN"/>
        </w:rPr>
        <w:t xml:space="preserve"> </w:t>
      </w:r>
    </w:p>
    <w:p>
      <w:pPr>
        <w:overflowPunct w:val="0"/>
        <w:autoSpaceDE w:val="0"/>
        <w:autoSpaceDN w:val="0"/>
        <w:adjustRightInd w:val="0"/>
        <w:spacing w:before="156" w:beforeLines="50"/>
        <w:jc w:val="both"/>
        <w:rPr>
          <w:rFonts w:hint="eastAsia" w:cs="Times New Roman"/>
          <w:sz w:val="21"/>
          <w:szCs w:val="21"/>
          <w:lang w:val="en-US" w:eastAsia="zh-CN"/>
        </w:rPr>
      </w:pPr>
      <w:r>
        <w:rPr>
          <w:rFonts w:hint="eastAsia" w:ascii="Times New Roman" w:hAnsi="Times New Roman" w:cs="Times New Roman"/>
          <w:lang w:val="en-US" w:eastAsia="zh-CN"/>
        </w:rPr>
        <w:t xml:space="preserve">With it comes to </w:t>
      </w:r>
      <w:r>
        <w:rPr>
          <w:rFonts w:hint="eastAsia"/>
          <w:lang w:val="en-US" w:eastAsia="zh-CN"/>
        </w:rPr>
        <w:t xml:space="preserve">the mobile IAB scenario, the mobile IAB node moves together with the vehicles, which may be across different TAs and RNAs. </w:t>
      </w:r>
      <w:r>
        <w:rPr>
          <w:rFonts w:hint="eastAsia" w:cs="Times New Roman"/>
          <w:sz w:val="21"/>
          <w:szCs w:val="21"/>
          <w:lang w:val="en-US" w:eastAsia="zh-CN"/>
        </w:rPr>
        <w:t>The T</w:t>
      </w:r>
      <w:r>
        <w:rPr>
          <w:rFonts w:hint="default" w:ascii="Times New Roman" w:hAnsi="Times New Roman" w:eastAsia="Dutch801BT-Roman" w:cs="Times New Roman"/>
          <w:sz w:val="21"/>
          <w:szCs w:val="21"/>
        </w:rPr>
        <w:t>AU</w:t>
      </w:r>
      <w:r>
        <w:rPr>
          <w:rFonts w:hint="eastAsia" w:ascii="Times New Roman" w:hAnsi="Times New Roman" w:cs="Times New Roman"/>
          <w:sz w:val="21"/>
          <w:szCs w:val="21"/>
          <w:lang w:val="en-US" w:eastAsia="zh-CN"/>
        </w:rPr>
        <w:t xml:space="preserve"> and </w:t>
      </w:r>
      <w:r>
        <w:rPr>
          <w:rFonts w:hint="default" w:ascii="Times New Roman" w:hAnsi="Times New Roman" w:eastAsia="Dutch801BT-Roman" w:cs="Times New Roman"/>
          <w:sz w:val="21"/>
          <w:szCs w:val="21"/>
        </w:rPr>
        <w:t xml:space="preserve"> </w:t>
      </w:r>
      <w:r>
        <w:rPr>
          <w:rFonts w:hint="eastAsia" w:ascii="Times New Roman" w:hAnsi="Times New Roman" w:cs="Times New Roman"/>
          <w:sz w:val="21"/>
          <w:szCs w:val="21"/>
          <w:lang w:val="en-US" w:eastAsia="zh-CN"/>
        </w:rPr>
        <w:t xml:space="preserve">RNAU </w:t>
      </w:r>
      <w:r>
        <w:rPr>
          <w:rFonts w:hint="default" w:ascii="Times New Roman" w:hAnsi="Times New Roman" w:eastAsia="Dutch801BT-Roman" w:cs="Times New Roman"/>
          <w:sz w:val="21"/>
          <w:szCs w:val="21"/>
        </w:rPr>
        <w:t xml:space="preserve">in mobile </w:t>
      </w:r>
      <w:r>
        <w:rPr>
          <w:rFonts w:hint="eastAsia" w:cs="Times New Roman"/>
          <w:sz w:val="21"/>
          <w:szCs w:val="21"/>
          <w:lang w:val="en-US" w:eastAsia="zh-CN"/>
        </w:rPr>
        <w:t>IAB</w:t>
      </w:r>
      <w:r>
        <w:rPr>
          <w:rFonts w:hint="default" w:ascii="Times New Roman" w:hAnsi="Times New Roman" w:eastAsia="Dutch801BT-Roman" w:cs="Times New Roman"/>
          <w:sz w:val="21"/>
          <w:szCs w:val="21"/>
        </w:rPr>
        <w:t xml:space="preserve"> scenario ha</w:t>
      </w:r>
      <w:r>
        <w:rPr>
          <w:rFonts w:hint="eastAsia" w:ascii="Times New Roman" w:hAnsi="Times New Roman" w:cs="Times New Roman"/>
          <w:sz w:val="21"/>
          <w:szCs w:val="21"/>
          <w:lang w:val="en-US" w:eastAsia="zh-CN"/>
        </w:rPr>
        <w:t>ve</w:t>
      </w:r>
      <w:r>
        <w:rPr>
          <w:rFonts w:hint="eastAsia" w:cs="Times New Roman"/>
          <w:sz w:val="21"/>
          <w:szCs w:val="21"/>
          <w:lang w:val="en-US" w:eastAsia="zh-CN"/>
        </w:rPr>
        <w:t xml:space="preserve"> to </w:t>
      </w:r>
      <w:r>
        <w:rPr>
          <w:rFonts w:hint="default" w:ascii="Times New Roman" w:hAnsi="Times New Roman" w:eastAsia="Dutch801BT-Roman" w:cs="Times New Roman"/>
          <w:sz w:val="21"/>
          <w:szCs w:val="21"/>
        </w:rPr>
        <w:t>deal with a large group of UEs</w:t>
      </w:r>
      <w:r>
        <w:rPr>
          <w:rFonts w:hint="eastAsia" w:ascii="Times New Roman" w:hAnsi="Times New Roman" w:cs="Times New Roman"/>
          <w:sz w:val="21"/>
          <w:szCs w:val="21"/>
          <w:lang w:val="en-US" w:eastAsia="zh-CN"/>
        </w:rPr>
        <w:t xml:space="preserve"> on the vehicles</w:t>
      </w:r>
      <w:r>
        <w:rPr>
          <w:rFonts w:hint="default" w:ascii="Times New Roman" w:hAnsi="Times New Roman" w:eastAsia="Dutch801BT-Roman" w:cs="Times New Roman"/>
          <w:sz w:val="21"/>
          <w:szCs w:val="21"/>
        </w:rPr>
        <w:t xml:space="preserve"> and should be</w:t>
      </w:r>
      <w:r>
        <w:rPr>
          <w:rFonts w:hint="eastAsia" w:cs="Times New Roman"/>
          <w:sz w:val="21"/>
          <w:szCs w:val="21"/>
          <w:lang w:val="en-US" w:eastAsia="zh-CN"/>
        </w:rPr>
        <w:t xml:space="preserve"> </w:t>
      </w:r>
      <w:r>
        <w:rPr>
          <w:rFonts w:hint="default" w:ascii="Times New Roman" w:hAnsi="Times New Roman" w:eastAsia="Dutch801BT-Roman" w:cs="Times New Roman"/>
          <w:sz w:val="21"/>
          <w:szCs w:val="21"/>
        </w:rPr>
        <w:t>kept to minimum level.</w:t>
      </w:r>
      <w:r>
        <w:rPr>
          <w:rFonts w:hint="eastAsia" w:cs="Times New Roman"/>
          <w:sz w:val="21"/>
          <w:szCs w:val="21"/>
          <w:lang w:val="en-US" w:eastAsia="zh-CN"/>
        </w:rPr>
        <w:t xml:space="preserve"> In this paper, we discuss the potential RAN3 impacts of UE group TAU/RNAUs in mobile IAB scenario. </w:t>
      </w:r>
    </w:p>
    <w:p>
      <w:pPr>
        <w:pStyle w:val="2"/>
        <w:jc w:val="both"/>
        <w:rPr>
          <w:rFonts w:eastAsia="宋体"/>
          <w:lang w:eastAsia="zh-CN"/>
        </w:rPr>
      </w:pPr>
      <w:r>
        <w:rPr>
          <w:rFonts w:hint="eastAsia" w:eastAsia="宋体"/>
          <w:lang w:eastAsia="zh-CN"/>
        </w:rPr>
        <w:t>Discussion</w:t>
      </w:r>
    </w:p>
    <w:p>
      <w:pPr>
        <w:pStyle w:val="3"/>
        <w:bidi w:val="0"/>
        <w:rPr>
          <w:lang w:eastAsia="zh-CN"/>
        </w:rPr>
      </w:pPr>
      <w:r>
        <w:rPr>
          <w:rFonts w:hint="eastAsia"/>
          <w:lang w:val="en-US" w:eastAsia="zh-CN"/>
        </w:rPr>
        <w:t>Overview of TAU and RNAU</w:t>
      </w:r>
    </w:p>
    <w:p>
      <w:pPr>
        <w:rPr>
          <w:rFonts w:hint="default"/>
          <w:lang w:val="en-US" w:eastAsia="zh-CN"/>
        </w:rPr>
      </w:pPr>
      <w:r>
        <w:rPr>
          <w:rFonts w:hint="eastAsia"/>
          <w:lang w:val="en-US" w:eastAsia="zh-CN"/>
        </w:rPr>
        <w:t>In this section, a brief overview of TAU and RNAU procedure is presented.</w:t>
      </w:r>
    </w:p>
    <w:p>
      <w:pPr>
        <w:numPr>
          <w:ilvl w:val="0"/>
          <w:numId w:val="14"/>
        </w:numPr>
        <w:ind w:left="420" w:leftChars="0" w:hanging="420" w:firstLineChars="0"/>
        <w:rPr>
          <w:rFonts w:hint="eastAsia"/>
          <w:b/>
          <w:bCs/>
          <w:lang w:val="en-US" w:eastAsia="zh-CN"/>
        </w:rPr>
      </w:pPr>
      <w:r>
        <w:rPr>
          <w:rFonts w:hint="eastAsia"/>
          <w:b/>
          <w:bCs/>
          <w:lang w:val="en-US" w:eastAsia="zh-CN"/>
        </w:rPr>
        <w:t>TAU</w:t>
      </w:r>
    </w:p>
    <w:p>
      <w:pPr>
        <w:jc w:val="both"/>
        <w:rPr>
          <w:rFonts w:hint="eastAsia"/>
          <w:highlight w:val="none"/>
          <w:lang w:val="en-US" w:eastAsia="zh-CN"/>
        </w:rPr>
      </w:pPr>
      <w:r>
        <w:rPr>
          <w:rFonts w:hint="eastAsia"/>
          <w:lang w:val="en-US" w:eastAsia="zh-CN"/>
        </w:rPr>
        <w:t xml:space="preserve">For the cellular system, the gNB broadcast a TAC (tracking area code) for each subset of PLMNs within a cell. The TAC broadcast by gNB is generally configured by OAM and the corresponding tracking area is </w:t>
      </w:r>
      <w:r>
        <w:rPr>
          <w:highlight w:val="none"/>
        </w:rPr>
        <w:t>Earth-stationary</w:t>
      </w:r>
      <w:r>
        <w:rPr>
          <w:rFonts w:hint="eastAsia"/>
          <w:highlight w:val="none"/>
          <w:lang w:val="en-US" w:eastAsia="zh-CN"/>
        </w:rPr>
        <w:t xml:space="preserve">. The </w:t>
      </w:r>
      <w:r>
        <w:rPr>
          <w:rFonts w:hint="eastAsia"/>
          <w:lang w:val="en-US" w:eastAsia="zh-CN"/>
        </w:rPr>
        <w:t xml:space="preserve">gNB sends the supported TA list of its serving cell to the AMF. Based on this info, AMF can be aware of the tracking area supported by each gNB. From the perspective of UE, it receives a list of TAI configured by AMF when it registers with the network. </w:t>
      </w:r>
    </w:p>
    <w:p>
      <w:pPr>
        <w:jc w:val="both"/>
        <w:rPr>
          <w:rFonts w:hint="eastAsia" w:eastAsia="宋体"/>
          <w:lang w:val="en-US" w:eastAsia="zh-CN"/>
        </w:rPr>
      </w:pPr>
      <w:r>
        <w:rPr>
          <w:rFonts w:hint="eastAsia"/>
          <w:lang w:val="en-US" w:eastAsia="zh-CN"/>
        </w:rPr>
        <w:t xml:space="preserve">Once UE enters RRC_IDLE state, it does not need to perform HO when it moves across different cells. Instead, the RRC_IDLE UE only need to perform: 1) periodic TAU, 2) event-triggered TAU </w:t>
      </w:r>
      <w:r>
        <w:t xml:space="preserve">when accessing a radio cell where none of the </w:t>
      </w:r>
      <w:r>
        <w:rPr>
          <w:rFonts w:hint="eastAsia"/>
          <w:lang w:val="en-US" w:eastAsia="zh-CN"/>
        </w:rPr>
        <w:t>TAIs</w:t>
      </w:r>
      <w:r>
        <w:t xml:space="preserve"> </w:t>
      </w:r>
      <w:r>
        <w:rPr>
          <w:rFonts w:hint="eastAsia"/>
          <w:lang w:val="en-US" w:eastAsia="zh-CN"/>
        </w:rPr>
        <w:t>is</w:t>
      </w:r>
      <w:r>
        <w:t xml:space="preserve"> </w:t>
      </w:r>
      <w:r>
        <w:rPr>
          <w:rFonts w:hint="eastAsia"/>
          <w:lang w:val="en-US" w:eastAsia="zh-CN"/>
        </w:rPr>
        <w:t>with</w:t>
      </w:r>
      <w:r>
        <w:rPr>
          <w:highlight w:val="none"/>
        </w:rPr>
        <w:t>in the list of TAIs that the UE has received from the network</w:t>
      </w:r>
      <w:r>
        <w:rPr>
          <w:rFonts w:hint="eastAsia"/>
          <w:lang w:val="en-US" w:eastAsia="zh-CN"/>
        </w:rPr>
        <w:t xml:space="preserve">. When RRC_IDLE UE performs TAU, it may initiate the RRC connection setup procedure toward gNB. It should be noted that the RRC_Connected UE may also perform even-triggered TAU </w:t>
      </w:r>
      <w:r>
        <w:rPr>
          <w:highlight w:val="none"/>
        </w:rPr>
        <w:t>if the current TAI of the serving cell</w:t>
      </w:r>
      <w:r>
        <w:rPr>
          <w:rFonts w:hint="eastAsia"/>
          <w:highlight w:val="none"/>
          <w:lang w:val="en-US" w:eastAsia="zh-CN"/>
        </w:rPr>
        <w:t xml:space="preserve"> </w:t>
      </w:r>
      <w:r>
        <w:rPr>
          <w:highlight w:val="none"/>
        </w:rPr>
        <w:t>is not in the list of TAIs that the UE has received from the network</w:t>
      </w:r>
      <w:r>
        <w:rPr>
          <w:rFonts w:hint="eastAsia"/>
          <w:highlight w:val="none"/>
          <w:lang w:val="en-US" w:eastAsia="zh-CN"/>
        </w:rPr>
        <w:t>.</w:t>
      </w:r>
    </w:p>
    <w:p>
      <w:pPr>
        <w:jc w:val="both"/>
        <w:rPr>
          <w:rFonts w:hint="eastAsia"/>
          <w:lang w:val="en-US" w:eastAsia="zh-CN"/>
        </w:rPr>
      </w:pPr>
      <w:r>
        <w:rPr>
          <w:rFonts w:hint="eastAsia"/>
          <w:lang w:val="en-US" w:eastAsia="zh-CN"/>
        </w:rPr>
        <w:t xml:space="preserve">Suppose the DL data for RRC_IDLE UE arrives, the AMF may send paging message to all the gNBs involved in the TAs previously configured for this UE. Upon receiving the paging message from AMF, gNB can further determine which cell(s) should be involved and send paging message over the involved cell(s). When the RRC_IDLE UE receive the paging message, the RRC_IDLE UE will setup RRC connection, enter RRC_Connected state and be ready for the DL data reception. </w:t>
      </w:r>
    </w:p>
    <w:p>
      <w:pPr>
        <w:jc w:val="both"/>
        <w:rPr>
          <w:rFonts w:hint="default"/>
          <w:b/>
          <w:bCs/>
          <w:lang w:val="en-US" w:eastAsia="zh-CN"/>
        </w:rPr>
      </w:pPr>
      <w:r>
        <w:rPr>
          <w:rFonts w:hint="eastAsia"/>
          <w:b/>
          <w:bCs/>
          <w:lang w:val="en-US" w:eastAsia="zh-CN"/>
        </w:rPr>
        <w:t xml:space="preserve">Observation 1: UE may perform: 1) periodic TAU (RRC_IDLE state), 2) event-triggered TAU </w:t>
      </w:r>
      <w:r>
        <w:rPr>
          <w:b/>
          <w:bCs/>
        </w:rPr>
        <w:t xml:space="preserve">when </w:t>
      </w:r>
      <w:r>
        <w:rPr>
          <w:rFonts w:hint="eastAsia"/>
          <w:b/>
          <w:bCs/>
          <w:lang w:val="en-US" w:eastAsia="zh-CN"/>
        </w:rPr>
        <w:t>the TAI of current serving cell is not with</w:t>
      </w:r>
      <w:r>
        <w:rPr>
          <w:b/>
          <w:bCs/>
          <w:highlight w:val="none"/>
        </w:rPr>
        <w:t>in the list of TAIs that the UE has received from the network</w:t>
      </w:r>
      <w:r>
        <w:rPr>
          <w:rFonts w:hint="eastAsia"/>
          <w:b/>
          <w:bCs/>
          <w:highlight w:val="none"/>
          <w:lang w:val="en-US" w:eastAsia="zh-CN"/>
        </w:rPr>
        <w:t xml:space="preserve"> (either RRC_IDLE or RRC_Connected state)</w:t>
      </w:r>
      <w:r>
        <w:rPr>
          <w:rFonts w:hint="eastAsia"/>
          <w:b/>
          <w:bCs/>
          <w:lang w:val="en-US" w:eastAsia="zh-CN"/>
        </w:rPr>
        <w:t>.</w:t>
      </w:r>
    </w:p>
    <w:p>
      <w:pPr>
        <w:numPr>
          <w:ilvl w:val="0"/>
          <w:numId w:val="14"/>
        </w:numPr>
        <w:ind w:left="420" w:leftChars="0" w:hanging="420" w:firstLineChars="0"/>
        <w:rPr>
          <w:rFonts w:hint="eastAsia" w:eastAsia="宋体"/>
          <w:lang w:eastAsia="zh-CN"/>
        </w:rPr>
      </w:pPr>
      <w:r>
        <w:rPr>
          <w:rFonts w:hint="eastAsia"/>
          <w:b/>
          <w:bCs/>
          <w:lang w:val="en-US" w:eastAsia="zh-CN"/>
        </w:rPr>
        <w:t>RNAU of RRC_INACTIVE UE</w:t>
      </w:r>
    </w:p>
    <w:p>
      <w:pPr>
        <w:jc w:val="both"/>
        <w:rPr>
          <w:rFonts w:hint="eastAsia"/>
          <w:highlight w:val="none"/>
          <w:lang w:val="en-US" w:eastAsia="zh-CN"/>
        </w:rPr>
      </w:pPr>
      <w:r>
        <w:rPr>
          <w:rFonts w:hint="eastAsia"/>
          <w:lang w:val="en-US" w:eastAsia="zh-CN"/>
        </w:rPr>
        <w:t xml:space="preserve">For NR system, the UE is allowed to enter RRC_INACTIVE state.  Before entering the RRC_INACTIVE state, the UE is configured by the last serving gNB with an RAN Notification Area (RNA). The RNA can cover one or multiple cells, and should be </w:t>
      </w:r>
      <w:r>
        <w:rPr>
          <w:highlight w:val="none"/>
        </w:rPr>
        <w:t xml:space="preserve">a subset of </w:t>
      </w:r>
      <w:r>
        <w:rPr>
          <w:rFonts w:hint="eastAsia"/>
          <w:highlight w:val="none"/>
          <w:lang w:val="en-US" w:eastAsia="zh-CN"/>
        </w:rPr>
        <w:t xml:space="preserve">or equal to </w:t>
      </w:r>
      <w:r>
        <w:rPr>
          <w:highlight w:val="none"/>
        </w:rPr>
        <w:t>a CN Tracking Area</w:t>
      </w:r>
      <w:r>
        <w:rPr>
          <w:rFonts w:hint="eastAsia"/>
          <w:highlight w:val="none"/>
          <w:lang w:val="en-US" w:eastAsia="zh-CN"/>
        </w:rPr>
        <w:t xml:space="preserve">. To be specific, the RNA may be configured via a list of cells or a list of RAN Area Code (RANAC) or TAC. The involved cells will </w:t>
      </w:r>
      <w:r>
        <w:rPr>
          <w:highlight w:val="none"/>
        </w:rPr>
        <w:t xml:space="preserve">broadcast one </w:t>
      </w:r>
      <w:r>
        <w:rPr>
          <w:rFonts w:hint="eastAsia"/>
          <w:highlight w:val="none"/>
          <w:lang w:val="en-US" w:eastAsia="zh-CN"/>
        </w:rPr>
        <w:t>RANAC</w:t>
      </w:r>
      <w:r>
        <w:rPr>
          <w:highlight w:val="none"/>
        </w:rPr>
        <w:t xml:space="preserve"> in the </w:t>
      </w:r>
      <w:r>
        <w:rPr>
          <w:rFonts w:hint="eastAsia"/>
          <w:highlight w:val="none"/>
          <w:lang w:val="en-US" w:eastAsia="zh-CN"/>
        </w:rPr>
        <w:t>SIB1 if the RNA is defined via RANAC</w:t>
      </w:r>
      <w:r>
        <w:rPr>
          <w:highlight w:val="none"/>
        </w:rPr>
        <w:t>.</w:t>
      </w:r>
      <w:r>
        <w:rPr>
          <w:rFonts w:hint="eastAsia"/>
          <w:highlight w:val="none"/>
          <w:lang w:val="en-US" w:eastAsia="zh-CN"/>
        </w:rPr>
        <w:t xml:space="preserve"> </w:t>
      </w:r>
    </w:p>
    <w:p>
      <w:pPr>
        <w:jc w:val="both"/>
        <w:rPr>
          <w:rFonts w:hint="eastAsia"/>
          <w:lang w:val="en-US" w:eastAsia="zh-CN"/>
        </w:rPr>
      </w:pPr>
      <w:r>
        <w:rPr>
          <w:rFonts w:hint="eastAsia"/>
          <w:highlight w:val="none"/>
          <w:lang w:val="en-US" w:eastAsia="zh-CN"/>
        </w:rPr>
        <w:t>A</w:t>
      </w:r>
      <w:r>
        <w:rPr>
          <w:highlight w:val="none"/>
        </w:rPr>
        <w:t xml:space="preserve"> RAN-based </w:t>
      </w:r>
      <w:r>
        <w:rPr>
          <w:rFonts w:hint="eastAsia"/>
          <w:highlight w:val="none"/>
          <w:lang w:val="en-US" w:eastAsia="zh-CN"/>
        </w:rPr>
        <w:t>N</w:t>
      </w:r>
      <w:r>
        <w:rPr>
          <w:highlight w:val="none"/>
        </w:rPr>
        <w:t xml:space="preserve">otification </w:t>
      </w:r>
      <w:r>
        <w:rPr>
          <w:rFonts w:hint="eastAsia"/>
          <w:highlight w:val="none"/>
          <w:lang w:val="en-US" w:eastAsia="zh-CN"/>
        </w:rPr>
        <w:t>A</w:t>
      </w:r>
      <w:r>
        <w:rPr>
          <w:highlight w:val="none"/>
        </w:rPr>
        <w:t xml:space="preserve">rea </w:t>
      </w:r>
      <w:r>
        <w:rPr>
          <w:rFonts w:hint="eastAsia"/>
          <w:highlight w:val="none"/>
          <w:lang w:val="en-US" w:eastAsia="zh-CN"/>
        </w:rPr>
        <w:t>U</w:t>
      </w:r>
      <w:r>
        <w:rPr>
          <w:highlight w:val="none"/>
        </w:rPr>
        <w:t>pdate (RNAU) is periodically sent by the UE</w:t>
      </w:r>
      <w:r>
        <w:rPr>
          <w:rFonts w:hint="eastAsia"/>
          <w:highlight w:val="none"/>
          <w:lang w:val="en-US" w:eastAsia="zh-CN"/>
        </w:rPr>
        <w:t>. In addition, the RNAU</w:t>
      </w:r>
      <w:r>
        <w:rPr>
          <w:highlight w:val="none"/>
        </w:rPr>
        <w:t xml:space="preserve"> is also sent when the UE </w:t>
      </w:r>
      <w:r>
        <w:rPr>
          <w:rFonts w:hint="eastAsia"/>
          <w:highlight w:val="none"/>
          <w:lang w:val="en-US" w:eastAsia="zh-CN"/>
        </w:rPr>
        <w:t>re-</w:t>
      </w:r>
      <w:r>
        <w:rPr>
          <w:highlight w:val="none"/>
        </w:rPr>
        <w:t xml:space="preserve">selects a cell that does not belong to </w:t>
      </w:r>
      <w:r>
        <w:rPr>
          <w:rFonts w:hint="eastAsia"/>
          <w:highlight w:val="none"/>
          <w:lang w:val="en-US" w:eastAsia="zh-CN"/>
        </w:rPr>
        <w:t>its previously</w:t>
      </w:r>
      <w:r>
        <w:rPr>
          <w:highlight w:val="none"/>
        </w:rPr>
        <w:t xml:space="preserve"> configured RNA.</w:t>
      </w:r>
      <w:r>
        <w:rPr>
          <w:rFonts w:hint="eastAsia"/>
          <w:highlight w:val="none"/>
          <w:lang w:val="en-US" w:eastAsia="zh-CN"/>
        </w:rPr>
        <w:t xml:space="preserve"> </w:t>
      </w:r>
      <w:r>
        <w:rPr>
          <w:rFonts w:hint="eastAsia"/>
          <w:lang w:val="en-US" w:eastAsia="zh-CN"/>
        </w:rPr>
        <w:t xml:space="preserve">When UE performs RNAU, it may initiate the RRC connection resumption procedure toward gNB, </w:t>
      </w:r>
      <w:r>
        <w:rPr>
          <w:rFonts w:eastAsia="MS Mincho"/>
        </w:rPr>
        <w:t>providing the I-RNTI allocated by the last serving gNB and appropriate cause value, e.g., RAN notification area update.</w:t>
      </w:r>
      <w:r>
        <w:rPr>
          <w:rFonts w:hint="eastAsia"/>
          <w:lang w:val="en-US" w:eastAsia="zh-CN"/>
        </w:rPr>
        <w:t xml:space="preserve"> I</w:t>
      </w:r>
      <w:r>
        <w:t>f</w:t>
      </w:r>
      <w:r>
        <w:rPr>
          <w:rFonts w:hint="eastAsia"/>
          <w:lang w:val="en-US" w:eastAsia="zh-CN"/>
        </w:rPr>
        <w:t xml:space="preserve"> gNB is </w:t>
      </w:r>
      <w:r>
        <w:t xml:space="preserve">able to resolve the gNB identity contained in the I-RNTI, </w:t>
      </w:r>
      <w:r>
        <w:rPr>
          <w:rFonts w:hint="eastAsia"/>
          <w:lang w:val="en-US" w:eastAsia="zh-CN"/>
        </w:rPr>
        <w:t xml:space="preserve">gNB may </w:t>
      </w:r>
      <w:r>
        <w:t>reques</w:t>
      </w:r>
      <w:r>
        <w:rPr>
          <w:rFonts w:hint="eastAsia"/>
          <w:lang w:val="en-US" w:eastAsia="zh-CN"/>
        </w:rPr>
        <w:t>t</w:t>
      </w:r>
      <w:r>
        <w:t xml:space="preserve"> the last serving gNB to provide UE Context</w:t>
      </w:r>
      <w:r>
        <w:rPr>
          <w:rFonts w:hint="eastAsia"/>
          <w:lang w:val="en-US" w:eastAsia="zh-CN"/>
        </w:rPr>
        <w:t xml:space="preserve">. </w:t>
      </w:r>
    </w:p>
    <w:p>
      <w:pPr>
        <w:jc w:val="both"/>
        <w:rPr>
          <w:rFonts w:hint="eastAsia" w:eastAsia="宋体"/>
          <w:lang w:val="en-US" w:eastAsia="zh-CN"/>
        </w:rPr>
      </w:pPr>
      <w:r>
        <w:rPr>
          <w:rFonts w:hint="eastAsia"/>
          <w:lang w:val="en-US" w:eastAsia="zh-CN"/>
        </w:rPr>
        <w:t>Moreover, a</w:t>
      </w:r>
      <w:r>
        <w:t xml:space="preserve"> RAN paging</w:t>
      </w:r>
      <w:r>
        <w:rPr>
          <w:rFonts w:hint="eastAsia" w:eastAsia="宋体"/>
          <w:lang w:val="en-US" w:eastAsia="zh-CN"/>
        </w:rPr>
        <w:t xml:space="preserve"> may be triggered due to </w:t>
      </w:r>
      <w:r>
        <w:t>incoming DL user plane</w:t>
      </w:r>
      <w:r>
        <w:rPr>
          <w:rFonts w:hint="eastAsia"/>
          <w:lang w:val="en-US" w:eastAsia="zh-CN"/>
        </w:rPr>
        <w:t xml:space="preserve"> data</w:t>
      </w:r>
      <w:r>
        <w:t xml:space="preserve">, DL </w:t>
      </w:r>
      <w:r>
        <w:rPr>
          <w:rFonts w:hint="eastAsia"/>
          <w:lang w:eastAsia="zh-CN"/>
        </w:rPr>
        <w:t>signaling</w:t>
      </w:r>
      <w:r>
        <w:t xml:space="preserve"> from 5GC, etc.</w:t>
      </w:r>
      <w:r>
        <w:rPr>
          <w:rFonts w:hint="eastAsia" w:eastAsia="宋体"/>
          <w:lang w:val="en-US" w:eastAsia="zh-CN"/>
        </w:rPr>
        <w:t xml:space="preserve"> In this case, the RAN paging may be triggered in the cells </w:t>
      </w:r>
      <w:r>
        <w:t>controlled by the last serving gNB</w:t>
      </w:r>
      <w:r>
        <w:rPr>
          <w:rFonts w:hint="eastAsia" w:eastAsia="宋体"/>
          <w:lang w:val="en-US" w:eastAsia="zh-CN"/>
        </w:rPr>
        <w:t xml:space="preserve">. In addition, it may be triggered </w:t>
      </w:r>
      <w:r>
        <w:t>by means of Xn RAN Paging in cells controlled by other gNBs, configured to the UE in the RNA.</w:t>
      </w:r>
      <w:r>
        <w:rPr>
          <w:rFonts w:hint="eastAsia" w:eastAsia="宋体"/>
          <w:lang w:val="en-US" w:eastAsia="zh-CN"/>
        </w:rPr>
        <w:t xml:space="preserve"> Suppose UE receive the paging with the I-RNTI of itself, the UE </w:t>
      </w:r>
      <w:r>
        <w:t>attempts to resume from RRC_INACTIVE to RRC_CONNECTED</w:t>
      </w:r>
      <w:r>
        <w:rPr>
          <w:rFonts w:hint="eastAsia"/>
          <w:lang w:val="en-US" w:eastAsia="zh-CN"/>
        </w:rPr>
        <w:t>.</w:t>
      </w:r>
    </w:p>
    <w:p>
      <w:pPr>
        <w:rPr>
          <w:rFonts w:hint="eastAsia"/>
          <w:b/>
          <w:bCs/>
          <w:lang w:val="en-US" w:eastAsia="zh-CN"/>
        </w:rPr>
      </w:pPr>
      <w:r>
        <w:rPr>
          <w:rFonts w:hint="eastAsia"/>
          <w:b/>
          <w:bCs/>
          <w:lang w:val="en-US" w:eastAsia="zh-CN"/>
        </w:rPr>
        <w:t xml:space="preserve">Observation 2: RRC_INACTIVE UE may perform: 1) periodic RNAU, 2) event-triggered RNAU </w:t>
      </w:r>
      <w:r>
        <w:rPr>
          <w:b/>
          <w:bCs/>
        </w:rPr>
        <w:t xml:space="preserve">when </w:t>
      </w:r>
      <w:r>
        <w:rPr>
          <w:b/>
          <w:bCs/>
          <w:highlight w:val="none"/>
        </w:rPr>
        <w:t xml:space="preserve">the UE </w:t>
      </w:r>
      <w:r>
        <w:rPr>
          <w:rFonts w:hint="eastAsia"/>
          <w:b/>
          <w:bCs/>
          <w:highlight w:val="none"/>
          <w:lang w:val="en-US" w:eastAsia="zh-CN"/>
        </w:rPr>
        <w:t>re-</w:t>
      </w:r>
      <w:r>
        <w:rPr>
          <w:b/>
          <w:bCs/>
          <w:highlight w:val="none"/>
        </w:rPr>
        <w:t xml:space="preserve">selects a cell that does not belong to </w:t>
      </w:r>
      <w:r>
        <w:rPr>
          <w:rFonts w:hint="eastAsia"/>
          <w:b/>
          <w:bCs/>
          <w:highlight w:val="none"/>
          <w:lang w:val="en-US" w:eastAsia="zh-CN"/>
        </w:rPr>
        <w:t>its previously</w:t>
      </w:r>
      <w:r>
        <w:rPr>
          <w:b/>
          <w:bCs/>
          <w:highlight w:val="none"/>
        </w:rPr>
        <w:t xml:space="preserve"> configured RNA</w:t>
      </w:r>
      <w:r>
        <w:rPr>
          <w:rFonts w:hint="eastAsia"/>
          <w:b/>
          <w:bCs/>
          <w:lang w:val="en-US" w:eastAsia="zh-CN"/>
        </w:rPr>
        <w:t>.</w:t>
      </w:r>
    </w:p>
    <w:p>
      <w:pPr>
        <w:pStyle w:val="3"/>
        <w:bidi w:val="0"/>
        <w:rPr>
          <w:rFonts w:hint="default"/>
          <w:lang w:val="en-US" w:eastAsia="zh-CN"/>
        </w:rPr>
      </w:pPr>
      <w:r>
        <w:rPr>
          <w:rFonts w:hint="eastAsia"/>
          <w:lang w:val="en-US" w:eastAsia="zh-CN"/>
        </w:rPr>
        <w:t>Analysis of TAU and RNAU for UEs served by mobile IAB</w:t>
      </w:r>
    </w:p>
    <w:p>
      <w:pPr>
        <w:jc w:val="both"/>
        <w:rPr>
          <w:rFonts w:hint="default" w:cs="Times New Roman"/>
          <w:sz w:val="21"/>
          <w:szCs w:val="21"/>
          <w:lang w:val="en-US" w:eastAsia="zh-CN"/>
        </w:rPr>
      </w:pPr>
      <w:r>
        <w:rPr>
          <w:rFonts w:hint="eastAsia"/>
          <w:lang w:val="en-US" w:eastAsia="zh-CN"/>
        </w:rPr>
        <w:t xml:space="preserve">For the mobile IAB scenario, the mobile IAB node moves together with the vehicles, which may be across different TAs, as shown in Figure 1. In this case, </w:t>
      </w:r>
      <w:r>
        <w:rPr>
          <w:rFonts w:hint="eastAsia" w:eastAsia="宋体" w:cs="Times New Roman"/>
          <w:sz w:val="21"/>
          <w:szCs w:val="21"/>
          <w:lang w:val="en-US" w:eastAsia="zh-CN"/>
        </w:rPr>
        <w:t xml:space="preserve">all the </w:t>
      </w:r>
      <w:r>
        <w:rPr>
          <w:rFonts w:hint="eastAsia" w:ascii="Times New Roman" w:hAnsi="Times New Roman" w:eastAsia="宋体" w:cs="Times New Roman"/>
          <w:sz w:val="21"/>
          <w:szCs w:val="21"/>
          <w:lang w:val="en-US" w:eastAsia="zh-CN"/>
        </w:rPr>
        <w:t xml:space="preserve">on-board RRC_IDLE </w:t>
      </w:r>
      <w:r>
        <w:rPr>
          <w:rFonts w:hint="default" w:ascii="Times New Roman" w:hAnsi="Times New Roman" w:eastAsia="Dutch801BT-Roman" w:cs="Times New Roman"/>
          <w:sz w:val="21"/>
          <w:szCs w:val="21"/>
        </w:rPr>
        <w:t>UEs</w:t>
      </w:r>
      <w:r>
        <w:rPr>
          <w:rFonts w:hint="eastAsia" w:ascii="Times New Roman" w:hAnsi="Times New Roman" w:eastAsia="宋体" w:cs="Times New Roman"/>
          <w:sz w:val="21"/>
          <w:szCs w:val="21"/>
          <w:lang w:val="en-US" w:eastAsia="zh-CN"/>
        </w:rPr>
        <w:t xml:space="preserve"> may be involved in the TAU procedure</w:t>
      </w:r>
      <w:r>
        <w:rPr>
          <w:rFonts w:hint="default" w:ascii="Times New Roman" w:hAnsi="Times New Roman" w:eastAsia="Dutch801BT-Roman" w:cs="Times New Roman"/>
          <w:sz w:val="21"/>
          <w:szCs w:val="21"/>
        </w:rPr>
        <w:t>.</w:t>
      </w:r>
      <w:r>
        <w:rPr>
          <w:rFonts w:hint="eastAsia" w:cs="Times New Roman"/>
          <w:sz w:val="21"/>
          <w:szCs w:val="21"/>
          <w:lang w:val="en-US" w:eastAsia="zh-CN"/>
        </w:rPr>
        <w:t xml:space="preserve"> </w:t>
      </w:r>
      <w:r>
        <w:rPr>
          <w:rFonts w:hint="eastAsia"/>
          <w:lang w:val="en-US" w:eastAsia="zh-CN"/>
        </w:rPr>
        <w:t xml:space="preserve">Similarly, the mobile IAB node mounted on the vehicle and on-board UEs may move across different RNAs and thus the on-board RRC_INACTIVE UEs need to perform RNAU. Considering that the on-board RRC_IDLE/INACTIVE UEs may detect the TA/RNA change simultaneously, a large group of on-board UEs may perform the event-triggered TAU/RNAU procedure at the same time, which leads to signaling storm. On the other hand, the periodic TAU/RNAU is performed </w:t>
      </w:r>
      <w:r>
        <w:rPr>
          <w:rFonts w:hint="eastAsia"/>
          <w:highlight w:val="none"/>
          <w:lang w:val="en-US" w:eastAsia="zh-CN"/>
        </w:rPr>
        <w:t>sporadically by on-board RRC_IDLE/INACTIVE UEs</w:t>
      </w:r>
      <w:r>
        <w:rPr>
          <w:rFonts w:hint="eastAsia"/>
          <w:lang w:val="en-US" w:eastAsia="zh-CN"/>
        </w:rPr>
        <w:t xml:space="preserve">, which is less harmful than even-triggered TAU/RNAU. So we will focus on the reduction of event-triggered TAU/RNAU </w:t>
      </w:r>
      <w:r>
        <w:rPr>
          <w:rFonts w:hint="eastAsia" w:ascii="Times New Roman" w:hAnsi="Times New Roman" w:eastAsia="宋体" w:cs="Times New Roman"/>
          <w:sz w:val="21"/>
          <w:szCs w:val="21"/>
          <w:lang w:val="en-US" w:eastAsia="zh-CN"/>
        </w:rPr>
        <w:t>in this paper.</w:t>
      </w:r>
    </w:p>
    <w:p>
      <w:pPr>
        <w:overflowPunct w:val="0"/>
        <w:autoSpaceDE w:val="0"/>
        <w:autoSpaceDN w:val="0"/>
        <w:adjustRightInd w:val="0"/>
        <w:spacing w:before="156" w:beforeLines="50"/>
        <w:jc w:val="center"/>
        <w:rPr>
          <w:rFonts w:hint="eastAsia"/>
          <w:lang w:val="en-US" w:eastAsia="zh-CN"/>
        </w:rPr>
      </w:pPr>
      <w:r>
        <w:rPr>
          <w:rFonts w:hint="eastAsia"/>
          <w:lang w:val="en-US" w:eastAsia="zh-CN"/>
        </w:rPr>
        <w:object>
          <v:shape id="_x0000_i1025" o:spt="75" type="#_x0000_t75" style="height:155.5pt;width:336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overflowPunct w:val="0"/>
        <w:autoSpaceDE w:val="0"/>
        <w:autoSpaceDN w:val="0"/>
        <w:adjustRightInd w:val="0"/>
        <w:spacing w:before="156" w:beforeLines="50"/>
        <w:jc w:val="center"/>
        <w:rPr>
          <w:rFonts w:hint="eastAsia"/>
          <w:lang w:val="en-US" w:eastAsia="zh-CN"/>
        </w:rPr>
      </w:pPr>
      <w:r>
        <w:rPr>
          <w:rFonts w:hint="eastAsia"/>
          <w:lang w:val="en-US" w:eastAsia="zh-CN"/>
        </w:rPr>
        <w:t>Figure 1 Illustration of mobile IAB across different TAs</w:t>
      </w:r>
    </w:p>
    <w:p>
      <w:pPr>
        <w:overflowPunct w:val="0"/>
        <w:autoSpaceDE w:val="0"/>
        <w:autoSpaceDN w:val="0"/>
        <w:adjustRightInd w:val="0"/>
        <w:spacing w:before="156" w:beforeLines="50"/>
        <w:jc w:val="both"/>
        <w:rPr>
          <w:rFonts w:hint="default"/>
          <w:highlight w:val="none"/>
          <w:lang w:val="en-US" w:eastAsia="zh-CN"/>
        </w:rPr>
      </w:pPr>
      <w:r>
        <w:rPr>
          <w:rFonts w:hint="eastAsia"/>
          <w:lang w:val="en-US" w:eastAsia="zh-CN"/>
        </w:rPr>
        <w:t xml:space="preserve">It should be noted that the tracking area handling of NR satellite access with moving cells has been discussed in R17. According to TS 23.501, </w:t>
      </w:r>
      <w:r>
        <w:t>the NG-RAN may change the TAC values that are broadcast in a cell's system information as the cell moves</w:t>
      </w:r>
      <w:r>
        <w:rPr>
          <w:rFonts w:hint="eastAsia"/>
          <w:lang w:val="en-US" w:eastAsia="zh-CN"/>
        </w:rPr>
        <w:t xml:space="preserve"> </w:t>
      </w:r>
      <w:r>
        <w:t>in order to ensure that each TA is Earth-stationary</w:t>
      </w:r>
      <w:r>
        <w:rPr>
          <w:rFonts w:hint="eastAsia"/>
          <w:lang w:val="en-US" w:eastAsia="zh-CN"/>
        </w:rPr>
        <w:t xml:space="preserve">. </w:t>
      </w:r>
      <w:r>
        <w:t xml:space="preserve">Alternatively, the NG-RAN may broadcast in a cell more than one TAC for a PLMN and add or remove TAC values as the cell moves. </w:t>
      </w:r>
      <w:r>
        <w:rPr>
          <w:rFonts w:hint="eastAsia"/>
          <w:highlight w:val="none"/>
          <w:lang w:val="en-US" w:eastAsia="zh-CN"/>
        </w:rPr>
        <w:t>In addition, t</w:t>
      </w:r>
      <w:r>
        <w:t xml:space="preserve">he gNB </w:t>
      </w:r>
      <w:r>
        <w:rPr>
          <w:rFonts w:hint="eastAsia"/>
          <w:lang w:val="en-US" w:eastAsia="zh-CN"/>
        </w:rPr>
        <w:t>provides</w:t>
      </w:r>
      <w:r>
        <w:t xml:space="preserve"> the TAI where the UE is geographically located </w:t>
      </w:r>
      <w:r>
        <w:rPr>
          <w:rFonts w:hint="eastAsia"/>
          <w:lang w:val="en-US" w:eastAsia="zh-CN"/>
        </w:rPr>
        <w:t xml:space="preserve">to AMF and </w:t>
      </w:r>
      <w:r>
        <w:rPr>
          <w:highlight w:val="none"/>
        </w:rPr>
        <w:t xml:space="preserve">AMF may take the TAI where the UE is geographically located into account to generate a suitable </w:t>
      </w:r>
      <w:r>
        <w:rPr>
          <w:rFonts w:hint="eastAsia"/>
          <w:highlight w:val="none"/>
          <w:lang w:val="en-US" w:eastAsia="zh-CN"/>
        </w:rPr>
        <w:t>tracking</w:t>
      </w:r>
      <w:r>
        <w:rPr>
          <w:highlight w:val="none"/>
        </w:rPr>
        <w:t xml:space="preserve"> Area for the UE.</w:t>
      </w:r>
      <w:r>
        <w:rPr>
          <w:rFonts w:hint="eastAsia"/>
          <w:highlight w:val="none"/>
          <w:lang w:val="en-US" w:eastAsia="zh-CN"/>
        </w:rPr>
        <w:t xml:space="preserve"> As we can see, both NR satellite access and mobile IAB considers moving cells. However, the mobile IAB need to further consider a group of UEs move together with the mobile IAB node, which is different from NR satellite access. </w:t>
      </w:r>
    </w:p>
    <w:p>
      <w:pPr>
        <w:overflowPunct w:val="0"/>
        <w:autoSpaceDE w:val="0"/>
        <w:autoSpaceDN w:val="0"/>
        <w:adjustRightInd w:val="0"/>
        <w:spacing w:before="156" w:beforeLines="50"/>
        <w:jc w:val="both"/>
        <w:rPr>
          <w:rFonts w:hint="eastAsia" w:eastAsia="宋体"/>
          <w:b/>
          <w:bCs/>
          <w:lang w:val="en-US" w:eastAsia="zh-CN"/>
        </w:rPr>
      </w:pPr>
      <w:r>
        <w:rPr>
          <w:rFonts w:hint="eastAsia"/>
          <w:b/>
          <w:bCs/>
          <w:highlight w:val="none"/>
          <w:lang w:val="en-US" w:eastAsia="zh-CN"/>
        </w:rPr>
        <w:t xml:space="preserve">Observation 3: For NR satellite access with moving cells, the </w:t>
      </w:r>
      <w:r>
        <w:rPr>
          <w:rFonts w:hint="eastAsia"/>
          <w:b/>
          <w:bCs/>
          <w:lang w:val="en-US" w:eastAsia="zh-CN"/>
        </w:rPr>
        <w:t>gNB</w:t>
      </w:r>
      <w:r>
        <w:rPr>
          <w:b/>
          <w:bCs/>
        </w:rPr>
        <w:t xml:space="preserve"> may change the TAC values that are broadcast </w:t>
      </w:r>
      <w:r>
        <w:rPr>
          <w:rFonts w:hint="eastAsia"/>
          <w:b/>
          <w:bCs/>
          <w:lang w:val="en-US" w:eastAsia="zh-CN"/>
        </w:rPr>
        <w:t xml:space="preserve">or </w:t>
      </w:r>
      <w:r>
        <w:rPr>
          <w:b/>
          <w:bCs/>
        </w:rPr>
        <w:t>broadcast in a cell more than one TAC for a PLMN</w:t>
      </w:r>
      <w:r>
        <w:rPr>
          <w:rFonts w:hint="eastAsia"/>
          <w:b/>
          <w:bCs/>
          <w:lang w:val="en-US" w:eastAsia="zh-CN"/>
        </w:rPr>
        <w:t xml:space="preserve"> </w:t>
      </w:r>
      <w:r>
        <w:rPr>
          <w:b/>
          <w:bCs/>
        </w:rPr>
        <w:t>in a cell's system information as the cell moves</w:t>
      </w:r>
      <w:r>
        <w:rPr>
          <w:rFonts w:hint="eastAsia"/>
          <w:b/>
          <w:bCs/>
          <w:lang w:val="en-US" w:eastAsia="zh-CN"/>
        </w:rPr>
        <w:t xml:space="preserve">. In addition, </w:t>
      </w:r>
      <w:r>
        <w:rPr>
          <w:rFonts w:hint="eastAsia"/>
          <w:b/>
          <w:bCs/>
          <w:highlight w:val="none"/>
          <w:lang w:val="en-US" w:eastAsia="zh-CN"/>
        </w:rPr>
        <w:t>t</w:t>
      </w:r>
      <w:r>
        <w:rPr>
          <w:b/>
          <w:bCs/>
        </w:rPr>
        <w:t xml:space="preserve">he gNB </w:t>
      </w:r>
      <w:r>
        <w:rPr>
          <w:rFonts w:hint="eastAsia"/>
          <w:b/>
          <w:bCs/>
          <w:lang w:val="en-US" w:eastAsia="zh-CN"/>
        </w:rPr>
        <w:t>provides</w:t>
      </w:r>
      <w:r>
        <w:rPr>
          <w:b/>
          <w:bCs/>
        </w:rPr>
        <w:t xml:space="preserve"> the TAI where the UE is geographically located </w:t>
      </w:r>
      <w:r>
        <w:rPr>
          <w:rFonts w:hint="eastAsia"/>
          <w:b/>
          <w:bCs/>
          <w:lang w:val="en-US" w:eastAsia="zh-CN"/>
        </w:rPr>
        <w:t xml:space="preserve">to AMF and </w:t>
      </w:r>
      <w:r>
        <w:rPr>
          <w:b/>
          <w:bCs/>
          <w:highlight w:val="none"/>
        </w:rPr>
        <w:t xml:space="preserve">AMF may take the TAI where the UE is geographically located into account to generate a suitable </w:t>
      </w:r>
      <w:r>
        <w:rPr>
          <w:rFonts w:hint="eastAsia"/>
          <w:b/>
          <w:bCs/>
          <w:highlight w:val="none"/>
          <w:lang w:val="en-US" w:eastAsia="zh-CN"/>
        </w:rPr>
        <w:t>tracking</w:t>
      </w:r>
      <w:r>
        <w:rPr>
          <w:b/>
          <w:bCs/>
          <w:highlight w:val="none"/>
        </w:rPr>
        <w:t xml:space="preserve"> </w:t>
      </w:r>
      <w:r>
        <w:rPr>
          <w:rFonts w:hint="eastAsia"/>
          <w:b/>
          <w:bCs/>
          <w:highlight w:val="none"/>
          <w:lang w:val="en-US" w:eastAsia="zh-CN"/>
        </w:rPr>
        <w:t>a</w:t>
      </w:r>
      <w:r>
        <w:rPr>
          <w:b/>
          <w:bCs/>
          <w:highlight w:val="none"/>
        </w:rPr>
        <w:t>rea for the UE.</w:t>
      </w:r>
    </w:p>
    <w:p>
      <w:pPr>
        <w:overflowPunct w:val="0"/>
        <w:autoSpaceDE w:val="0"/>
        <w:autoSpaceDN w:val="0"/>
        <w:adjustRightInd w:val="0"/>
        <w:spacing w:before="156" w:beforeLines="50"/>
        <w:jc w:val="both"/>
        <w:rPr>
          <w:rFonts w:hint="default" w:eastAsia="宋体"/>
          <w:b/>
          <w:bCs/>
          <w:lang w:val="en-US" w:eastAsia="zh-CN"/>
        </w:rPr>
      </w:pPr>
      <w:r>
        <w:rPr>
          <w:rFonts w:hint="eastAsia"/>
          <w:b/>
          <w:bCs/>
          <w:lang w:val="en-US" w:eastAsia="zh-CN"/>
        </w:rPr>
        <w:t xml:space="preserve">Proposal 1: RAN3 to consider the enhancements for reducing the event-triggered TAU/RNAU of a large group of on-board UEs served by mobile IAB. </w:t>
      </w:r>
    </w:p>
    <w:p>
      <w:pPr>
        <w:pStyle w:val="4"/>
        <w:bidi w:val="0"/>
        <w:rPr>
          <w:rFonts w:hint="default"/>
          <w:lang w:val="en-US" w:eastAsia="zh-CN"/>
        </w:rPr>
      </w:pPr>
      <w:r>
        <w:rPr>
          <w:rFonts w:hint="eastAsia"/>
          <w:lang w:val="en-US" w:eastAsia="zh-CN"/>
        </w:rPr>
        <w:t>Potential RAN3 impacts for TAU enhancement</w:t>
      </w:r>
    </w:p>
    <w:p>
      <w:pPr>
        <w:rPr>
          <w:rFonts w:hint="eastAsia" w:cs="Times New Roman"/>
          <w:sz w:val="21"/>
          <w:szCs w:val="21"/>
          <w:lang w:val="en-US" w:eastAsia="zh-CN"/>
        </w:rPr>
      </w:pPr>
      <w:r>
        <w:rPr>
          <w:rFonts w:hint="eastAsia" w:cs="Times New Roman"/>
          <w:sz w:val="21"/>
          <w:szCs w:val="21"/>
          <w:lang w:val="en-US" w:eastAsia="zh-CN"/>
        </w:rPr>
        <w:t xml:space="preserve">As we mentioned before, the </w:t>
      </w:r>
      <w:r>
        <w:rPr>
          <w:rFonts w:hint="default" w:ascii="Times New Roman" w:hAnsi="Times New Roman" w:eastAsia="Dutch801BT-Roman" w:cs="Times New Roman"/>
          <w:sz w:val="21"/>
          <w:szCs w:val="21"/>
        </w:rPr>
        <w:t xml:space="preserve">TAU in mobile </w:t>
      </w:r>
      <w:r>
        <w:rPr>
          <w:rFonts w:hint="eastAsia" w:cs="Times New Roman"/>
          <w:sz w:val="21"/>
          <w:szCs w:val="21"/>
          <w:lang w:val="en-US" w:eastAsia="zh-CN"/>
        </w:rPr>
        <w:t>IAB</w:t>
      </w:r>
      <w:r>
        <w:rPr>
          <w:rFonts w:hint="default" w:ascii="Times New Roman" w:hAnsi="Times New Roman" w:eastAsia="Dutch801BT-Roman" w:cs="Times New Roman"/>
          <w:sz w:val="21"/>
          <w:szCs w:val="21"/>
        </w:rPr>
        <w:t xml:space="preserve"> scenario has</w:t>
      </w:r>
      <w:r>
        <w:rPr>
          <w:rFonts w:hint="eastAsia" w:cs="Times New Roman"/>
          <w:sz w:val="21"/>
          <w:szCs w:val="21"/>
          <w:lang w:val="en-US" w:eastAsia="zh-CN"/>
        </w:rPr>
        <w:t xml:space="preserve"> to </w:t>
      </w:r>
      <w:r>
        <w:rPr>
          <w:rFonts w:hint="default" w:ascii="Times New Roman" w:hAnsi="Times New Roman" w:eastAsia="Dutch801BT-Roman" w:cs="Times New Roman"/>
          <w:sz w:val="21"/>
          <w:szCs w:val="21"/>
        </w:rPr>
        <w:t>deal with a large group of UEs and should be</w:t>
      </w:r>
      <w:r>
        <w:rPr>
          <w:rFonts w:hint="eastAsia" w:cs="Times New Roman"/>
          <w:sz w:val="21"/>
          <w:szCs w:val="21"/>
          <w:lang w:val="en-US" w:eastAsia="zh-CN"/>
        </w:rPr>
        <w:t xml:space="preserve"> </w:t>
      </w:r>
      <w:r>
        <w:rPr>
          <w:rFonts w:hint="default" w:ascii="Times New Roman" w:hAnsi="Times New Roman" w:eastAsia="Dutch801BT-Roman" w:cs="Times New Roman"/>
          <w:sz w:val="21"/>
          <w:szCs w:val="21"/>
        </w:rPr>
        <w:t>kept to minimum level.</w:t>
      </w:r>
      <w:r>
        <w:rPr>
          <w:rFonts w:hint="eastAsia" w:cs="Times New Roman"/>
          <w:sz w:val="21"/>
          <w:szCs w:val="21"/>
          <w:lang w:val="en-US" w:eastAsia="zh-CN"/>
        </w:rPr>
        <w:t xml:space="preserve"> Generally speaking, the following options may be considered: </w:t>
      </w:r>
    </w:p>
    <w:p>
      <w:pPr>
        <w:numPr>
          <w:ilvl w:val="0"/>
          <w:numId w:val="15"/>
        </w:numPr>
        <w:ind w:left="420" w:leftChars="0" w:hanging="420" w:firstLineChars="0"/>
        <w:rPr>
          <w:rFonts w:hint="default" w:ascii="Times New Roman" w:hAnsi="Times New Roman" w:eastAsia="Dutch801BT-Roman" w:cs="Times New Roman"/>
          <w:b/>
          <w:bCs/>
          <w:sz w:val="21"/>
          <w:szCs w:val="21"/>
        </w:rPr>
      </w:pPr>
      <w:r>
        <w:rPr>
          <w:rFonts w:hint="eastAsia" w:cs="Times New Roman"/>
          <w:b/>
          <w:bCs/>
          <w:sz w:val="21"/>
          <w:szCs w:val="21"/>
          <w:lang w:val="en-US" w:eastAsia="zh-CN"/>
        </w:rPr>
        <w:t>Option 1-1: change the TAC values that are broadcast in mobile IAB-node-DU</w:t>
      </w:r>
      <w:r>
        <w:rPr>
          <w:rFonts w:hint="default" w:cs="Times New Roman"/>
          <w:b/>
          <w:bCs/>
          <w:sz w:val="21"/>
          <w:szCs w:val="21"/>
          <w:lang w:val="en-US" w:eastAsia="zh-CN"/>
        </w:rPr>
        <w:t>’</w:t>
      </w:r>
      <w:r>
        <w:rPr>
          <w:rFonts w:hint="eastAsia" w:cs="Times New Roman"/>
          <w:b/>
          <w:bCs/>
          <w:sz w:val="21"/>
          <w:szCs w:val="21"/>
          <w:lang w:val="en-US" w:eastAsia="zh-CN"/>
        </w:rPr>
        <w:t>s cells</w:t>
      </w:r>
    </w:p>
    <w:p>
      <w:pPr>
        <w:numPr>
          <w:ilvl w:val="0"/>
          <w:numId w:val="0"/>
        </w:numPr>
        <w:ind w:leftChars="0"/>
        <w:jc w:val="both"/>
        <w:rPr>
          <w:rFonts w:hint="eastAsia" w:cs="Times New Roman"/>
          <w:sz w:val="21"/>
          <w:szCs w:val="21"/>
          <w:highlight w:val="none"/>
          <w:lang w:val="en-US" w:eastAsia="zh-CN"/>
        </w:rPr>
      </w:pPr>
      <w:r>
        <w:rPr>
          <w:rFonts w:hint="eastAsia"/>
          <w:highlight w:val="none"/>
          <w:lang w:val="en-US" w:eastAsia="zh-CN"/>
        </w:rPr>
        <w:t>This option leverage the tracking area handling of NR satellite access, i.e . change the TAC values</w:t>
      </w:r>
      <w:r>
        <w:rPr>
          <w:rFonts w:hint="eastAsia"/>
          <w:b w:val="0"/>
          <w:bCs w:val="0"/>
          <w:highlight w:val="none"/>
          <w:lang w:val="en-US" w:eastAsia="zh-CN"/>
        </w:rPr>
        <w:t xml:space="preserve"> </w:t>
      </w:r>
      <w:r>
        <w:rPr>
          <w:b w:val="0"/>
          <w:bCs w:val="0"/>
        </w:rPr>
        <w:t>that are broadcast in a cell's system information as the cell moves</w:t>
      </w:r>
      <w:r>
        <w:rPr>
          <w:rFonts w:hint="eastAsia"/>
          <w:b w:val="0"/>
          <w:bCs w:val="0"/>
          <w:lang w:val="en-US" w:eastAsia="zh-CN"/>
        </w:rPr>
        <w:t xml:space="preserve">. </w:t>
      </w:r>
      <w:r>
        <w:rPr>
          <w:rFonts w:hint="eastAsia"/>
          <w:highlight w:val="none"/>
          <w:lang w:val="en-US" w:eastAsia="zh-CN"/>
        </w:rPr>
        <w:t xml:space="preserve">When the mobile IAB-node performs HO from source parent DU1 to target parent DU2, the mobile IAB-node-MT may perform TAU if it detects that </w:t>
      </w:r>
      <w:r>
        <w:rPr>
          <w:highlight w:val="none"/>
        </w:rPr>
        <w:t>the current TAI of the serving cell is not in the list of TAIs that the</w:t>
      </w:r>
      <w:r>
        <w:rPr>
          <w:rFonts w:hint="eastAsia"/>
          <w:highlight w:val="none"/>
          <w:lang w:val="en-US" w:eastAsia="zh-CN"/>
        </w:rPr>
        <w:t xml:space="preserve"> mobile IAB-node-MT</w:t>
      </w:r>
      <w:r>
        <w:rPr>
          <w:highlight w:val="none"/>
        </w:rPr>
        <w:t xml:space="preserve"> has received from</w:t>
      </w:r>
      <w:r>
        <w:rPr>
          <w:rFonts w:hint="eastAsia"/>
          <w:highlight w:val="none"/>
          <w:lang w:val="en-US" w:eastAsia="zh-CN"/>
        </w:rPr>
        <w:t xml:space="preserve"> AMF. On the other hand, the co-located mobile IAB-node-DU</w:t>
      </w:r>
      <w:r>
        <w:rPr>
          <w:rFonts w:hint="default"/>
          <w:highlight w:val="none"/>
          <w:lang w:val="en-US" w:eastAsia="zh-CN"/>
        </w:rPr>
        <w:t>’</w:t>
      </w:r>
      <w:r>
        <w:rPr>
          <w:rFonts w:hint="eastAsia"/>
          <w:highlight w:val="none"/>
          <w:lang w:val="en-US" w:eastAsia="zh-CN"/>
        </w:rPr>
        <w:t>s cell may change the broadcast TAC value to align with the the one broadcast by target parent DU</w:t>
      </w:r>
      <w:r>
        <w:rPr>
          <w:rFonts w:hint="default"/>
          <w:highlight w:val="none"/>
          <w:lang w:val="en-US" w:eastAsia="zh-CN"/>
        </w:rPr>
        <w:t>’</w:t>
      </w:r>
      <w:r>
        <w:rPr>
          <w:rFonts w:hint="eastAsia"/>
          <w:highlight w:val="none"/>
          <w:lang w:val="en-US" w:eastAsia="zh-CN"/>
        </w:rPr>
        <w:t>s cell. Alternatively, the donor CU may send the TAC configuration to mobile IAB-node-DU and then mobile IAB-node-DU</w:t>
      </w:r>
      <w:r>
        <w:rPr>
          <w:rFonts w:hint="default"/>
          <w:highlight w:val="none"/>
          <w:lang w:val="en-US" w:eastAsia="zh-CN"/>
        </w:rPr>
        <w:t>’</w:t>
      </w:r>
      <w:r>
        <w:rPr>
          <w:rFonts w:hint="eastAsia"/>
          <w:highlight w:val="none"/>
          <w:lang w:val="en-US" w:eastAsia="zh-CN"/>
        </w:rPr>
        <w:t>s cell broadcast this TAC value in system information. In this case, the UEs served by the mobile IAB-node-DU</w:t>
      </w:r>
      <w:r>
        <w:rPr>
          <w:rFonts w:hint="default"/>
          <w:highlight w:val="none"/>
          <w:lang w:val="en-US" w:eastAsia="zh-CN"/>
        </w:rPr>
        <w:t>’</w:t>
      </w:r>
      <w:r>
        <w:rPr>
          <w:rFonts w:hint="eastAsia"/>
          <w:highlight w:val="none"/>
          <w:lang w:val="en-US" w:eastAsia="zh-CN"/>
        </w:rPr>
        <w:t>s cell may initiate the TAU procedure</w:t>
      </w:r>
      <w:r>
        <w:rPr>
          <w:rFonts w:hint="default" w:ascii="Times New Roman" w:hAnsi="Times New Roman" w:eastAsia="Dutch801BT-Roman" w:cs="Times New Roman"/>
          <w:sz w:val="21"/>
          <w:szCs w:val="21"/>
          <w:highlight w:val="none"/>
        </w:rPr>
        <w:t xml:space="preserve"> if the UE finds that</w:t>
      </w:r>
      <w:r>
        <w:rPr>
          <w:rFonts w:hint="eastAsia" w:cs="Times New Roman"/>
          <w:sz w:val="21"/>
          <w:szCs w:val="21"/>
          <w:highlight w:val="none"/>
          <w:lang w:val="en-US" w:eastAsia="zh-CN"/>
        </w:rPr>
        <w:t xml:space="preserve"> </w:t>
      </w:r>
      <w:r>
        <w:rPr>
          <w:rFonts w:hint="default" w:ascii="Times New Roman" w:hAnsi="Times New Roman" w:eastAsia="Dutch801BT-Roman" w:cs="Times New Roman"/>
          <w:sz w:val="21"/>
          <w:szCs w:val="21"/>
          <w:highlight w:val="none"/>
        </w:rPr>
        <w:t>the broadcast TA</w:t>
      </w:r>
      <w:r>
        <w:rPr>
          <w:rFonts w:hint="eastAsia" w:cs="Times New Roman"/>
          <w:sz w:val="21"/>
          <w:szCs w:val="21"/>
          <w:highlight w:val="none"/>
          <w:lang w:val="en-US" w:eastAsia="zh-CN"/>
        </w:rPr>
        <w:t>C</w:t>
      </w:r>
      <w:r>
        <w:rPr>
          <w:rFonts w:hint="default" w:ascii="Times New Roman" w:hAnsi="Times New Roman" w:eastAsia="Dutch801BT-Roman" w:cs="Times New Roman"/>
          <w:sz w:val="21"/>
          <w:szCs w:val="21"/>
          <w:highlight w:val="none"/>
        </w:rPr>
        <w:t xml:space="preserve"> of the </w:t>
      </w:r>
      <w:r>
        <w:rPr>
          <w:rFonts w:hint="eastAsia" w:cs="Times New Roman"/>
          <w:sz w:val="21"/>
          <w:szCs w:val="21"/>
          <w:highlight w:val="none"/>
          <w:lang w:val="en-US" w:eastAsia="zh-CN"/>
        </w:rPr>
        <w:t>serving</w:t>
      </w:r>
      <w:r>
        <w:rPr>
          <w:rFonts w:hint="default" w:ascii="Times New Roman" w:hAnsi="Times New Roman" w:eastAsia="Dutch801BT-Roman" w:cs="Times New Roman"/>
          <w:sz w:val="21"/>
          <w:szCs w:val="21"/>
          <w:highlight w:val="none"/>
        </w:rPr>
        <w:t xml:space="preserve"> cell is not</w:t>
      </w:r>
      <w:r>
        <w:rPr>
          <w:rFonts w:hint="eastAsia" w:cs="Times New Roman"/>
          <w:sz w:val="21"/>
          <w:szCs w:val="21"/>
          <w:highlight w:val="none"/>
          <w:lang w:val="en-US" w:eastAsia="zh-CN"/>
        </w:rPr>
        <w:t xml:space="preserve"> </w:t>
      </w:r>
      <w:r>
        <w:rPr>
          <w:rFonts w:hint="default" w:ascii="Times New Roman" w:hAnsi="Times New Roman" w:eastAsia="Dutch801BT-Roman" w:cs="Times New Roman"/>
          <w:sz w:val="21"/>
          <w:szCs w:val="21"/>
          <w:highlight w:val="none"/>
        </w:rPr>
        <w:t xml:space="preserve">within the TAI list </w:t>
      </w:r>
      <w:r>
        <w:rPr>
          <w:rFonts w:hint="eastAsia" w:eastAsia="宋体" w:cs="Times New Roman"/>
          <w:sz w:val="21"/>
          <w:szCs w:val="21"/>
          <w:highlight w:val="none"/>
          <w:lang w:val="en-US" w:eastAsia="zh-CN"/>
        </w:rPr>
        <w:t>received from</w:t>
      </w:r>
      <w:r>
        <w:rPr>
          <w:rFonts w:hint="default" w:ascii="Times New Roman" w:hAnsi="Times New Roman" w:eastAsia="Dutch801BT-Roman" w:cs="Times New Roman"/>
          <w:sz w:val="21"/>
          <w:szCs w:val="21"/>
          <w:highlight w:val="none"/>
        </w:rPr>
        <w:t xml:space="preserve"> the UE</w:t>
      </w:r>
      <w:r>
        <w:rPr>
          <w:rFonts w:hint="default" w:cs="Times New Roman"/>
          <w:sz w:val="21"/>
          <w:szCs w:val="21"/>
          <w:highlight w:val="none"/>
          <w:lang w:val="en-US" w:eastAsia="zh-CN"/>
        </w:rPr>
        <w:t>’</w:t>
      </w:r>
      <w:r>
        <w:rPr>
          <w:rFonts w:hint="eastAsia" w:cs="Times New Roman"/>
          <w:sz w:val="21"/>
          <w:szCs w:val="21"/>
          <w:highlight w:val="none"/>
          <w:lang w:val="en-US" w:eastAsia="zh-CN"/>
        </w:rPr>
        <w:t xml:space="preserve">s AMF. </w:t>
      </w:r>
    </w:p>
    <w:p>
      <w:pPr>
        <w:numPr>
          <w:ilvl w:val="0"/>
          <w:numId w:val="15"/>
        </w:numPr>
        <w:ind w:left="420" w:leftChars="0" w:hanging="420" w:firstLineChars="0"/>
        <w:rPr>
          <w:rFonts w:hint="default" w:ascii="Times New Roman" w:hAnsi="Times New Roman" w:eastAsia="Dutch801BT-Roman" w:cs="Times New Roman"/>
          <w:b/>
          <w:bCs/>
          <w:sz w:val="21"/>
          <w:szCs w:val="21"/>
          <w:highlight w:val="none"/>
        </w:rPr>
      </w:pPr>
      <w:r>
        <w:rPr>
          <w:rFonts w:hint="eastAsia" w:cs="Times New Roman"/>
          <w:b/>
          <w:bCs/>
          <w:sz w:val="21"/>
          <w:szCs w:val="21"/>
          <w:highlight w:val="none"/>
          <w:lang w:val="en-US" w:eastAsia="zh-CN"/>
        </w:rPr>
        <w:t>Option 1-2: configure dedicated TAC for mobile IAB-node-DU and inform donor node</w:t>
      </w:r>
    </w:p>
    <w:p>
      <w:pPr>
        <w:numPr>
          <w:ilvl w:val="0"/>
          <w:numId w:val="0"/>
        </w:numPr>
        <w:ind w:leftChars="0"/>
        <w:jc w:val="both"/>
        <w:rPr>
          <w:rFonts w:hint="default" w:cs="Times New Roman"/>
          <w:sz w:val="21"/>
          <w:szCs w:val="21"/>
          <w:highlight w:val="none"/>
          <w:lang w:val="en-US" w:eastAsia="zh-CN"/>
        </w:rPr>
      </w:pPr>
      <w:r>
        <w:rPr>
          <w:rFonts w:hint="eastAsia" w:cs="Times New Roman"/>
          <w:sz w:val="21"/>
          <w:szCs w:val="21"/>
          <w:highlight w:val="none"/>
          <w:lang w:val="en-US" w:eastAsia="zh-CN"/>
        </w:rPr>
        <w:t>For this option, mobile IAB-node-DU</w:t>
      </w:r>
      <w:r>
        <w:rPr>
          <w:rFonts w:hint="default" w:cs="Times New Roman"/>
          <w:sz w:val="21"/>
          <w:szCs w:val="21"/>
          <w:highlight w:val="none"/>
          <w:lang w:val="en-US" w:eastAsia="zh-CN"/>
        </w:rPr>
        <w:t>’</w:t>
      </w:r>
      <w:r>
        <w:rPr>
          <w:rFonts w:hint="eastAsia" w:cs="Times New Roman"/>
          <w:sz w:val="21"/>
          <w:szCs w:val="21"/>
          <w:highlight w:val="none"/>
          <w:lang w:val="en-US" w:eastAsia="zh-CN"/>
        </w:rPr>
        <w:t>s cell may be configured with a dedicated TAC for mobile IAB and mobile IAB-node-DU</w:t>
      </w:r>
      <w:r>
        <w:rPr>
          <w:rFonts w:hint="default" w:cs="Times New Roman"/>
          <w:sz w:val="21"/>
          <w:szCs w:val="21"/>
          <w:highlight w:val="none"/>
          <w:lang w:val="en-US" w:eastAsia="zh-CN"/>
        </w:rPr>
        <w:t>’</w:t>
      </w:r>
      <w:r>
        <w:rPr>
          <w:rFonts w:hint="eastAsia" w:cs="Times New Roman"/>
          <w:sz w:val="21"/>
          <w:szCs w:val="21"/>
          <w:highlight w:val="none"/>
          <w:lang w:val="en-US" w:eastAsia="zh-CN"/>
        </w:rPr>
        <w:t>s cell broadcast this dedicated TAC in SIB1. When the mobile IAB connects to a target donor CU, the mobile IAB-node-DU may send the served cells information (including the TAC and NCGI) to target donor CU. Upon receiving the mobile IAB-node-DU</w:t>
      </w:r>
      <w:r>
        <w:rPr>
          <w:rFonts w:hint="default" w:cs="Times New Roman"/>
          <w:sz w:val="21"/>
          <w:szCs w:val="21"/>
          <w:highlight w:val="none"/>
          <w:lang w:val="en-US" w:eastAsia="zh-CN"/>
        </w:rPr>
        <w:t>’</w:t>
      </w:r>
      <w:r>
        <w:rPr>
          <w:rFonts w:hint="eastAsia" w:cs="Times New Roman"/>
          <w:sz w:val="21"/>
          <w:szCs w:val="21"/>
          <w:highlight w:val="none"/>
          <w:lang w:val="en-US" w:eastAsia="zh-CN"/>
        </w:rPr>
        <w:t xml:space="preserve">s served cell information, the target donor CU sends the supported TA list (including the dedicated TAC) to AMF via legacy RAN configuration update procedure. For the UEs served by the mobile IAB-node-DU, </w:t>
      </w:r>
      <w:r>
        <w:rPr>
          <w:rFonts w:hint="default" w:ascii="Times New Roman" w:hAnsi="Times New Roman" w:eastAsia="Dutch801BT-Roman" w:cs="Times New Roman"/>
          <w:sz w:val="21"/>
          <w:szCs w:val="21"/>
          <w:highlight w:val="none"/>
        </w:rPr>
        <w:t>the TAI list assigned by the UE’s</w:t>
      </w:r>
      <w:r>
        <w:rPr>
          <w:rFonts w:hint="eastAsia" w:cs="Times New Roman"/>
          <w:sz w:val="21"/>
          <w:szCs w:val="21"/>
          <w:highlight w:val="none"/>
          <w:lang w:val="en-US" w:eastAsia="zh-CN"/>
        </w:rPr>
        <w:t xml:space="preserve"> AMF</w:t>
      </w:r>
      <w:r>
        <w:rPr>
          <w:rFonts w:hint="default" w:ascii="Times New Roman" w:hAnsi="Times New Roman" w:eastAsia="Dutch801BT-Roman" w:cs="Times New Roman"/>
          <w:sz w:val="21"/>
          <w:szCs w:val="21"/>
          <w:highlight w:val="none"/>
        </w:rPr>
        <w:t xml:space="preserve"> should contain this dedicated TA</w:t>
      </w:r>
      <w:r>
        <w:rPr>
          <w:rFonts w:hint="eastAsia" w:cs="Times New Roman"/>
          <w:sz w:val="21"/>
          <w:szCs w:val="21"/>
          <w:highlight w:val="none"/>
          <w:lang w:val="en-US" w:eastAsia="zh-CN"/>
        </w:rPr>
        <w:t>C for mobile IAB</w:t>
      </w:r>
      <w:r>
        <w:rPr>
          <w:rFonts w:hint="default" w:ascii="Times New Roman" w:hAnsi="Times New Roman" w:eastAsia="Dutch801BT-Roman" w:cs="Times New Roman"/>
          <w:sz w:val="21"/>
          <w:szCs w:val="21"/>
          <w:highlight w:val="none"/>
        </w:rPr>
        <w:t xml:space="preserve">. </w:t>
      </w:r>
    </w:p>
    <w:p>
      <w:pPr>
        <w:numPr>
          <w:ilvl w:val="0"/>
          <w:numId w:val="0"/>
        </w:numPr>
        <w:ind w:leftChars="0"/>
        <w:jc w:val="both"/>
        <w:rPr>
          <w:rFonts w:hint="default" w:cs="Times New Roman"/>
          <w:sz w:val="21"/>
          <w:szCs w:val="21"/>
          <w:highlight w:val="none"/>
          <w:lang w:val="en-US" w:eastAsia="zh-CN"/>
        </w:rPr>
      </w:pPr>
      <w:r>
        <w:rPr>
          <w:rFonts w:hint="eastAsia" w:cs="Times New Roman"/>
          <w:sz w:val="21"/>
          <w:szCs w:val="21"/>
          <w:highlight w:val="none"/>
          <w:lang w:val="en-US" w:eastAsia="zh-CN"/>
        </w:rPr>
        <w:t xml:space="preserve">Suppose the AMF need to page the UE served by the mobile IAB-node-DU, AMF may send the paging message to the donor CU involved in the dedicated TAC. Donor CU then send the paging message to mobile IAB-node-DU. Finally the UE served by the mobile IAB-node-DU may receive the paging message. As we can see, since the dedicated TAC broadcast by the mobile IAB node does not change with the movement, the UE served by the mobile IAB node will not detect the TAC change and event-triggered TAU can be avoided. </w:t>
      </w:r>
    </w:p>
    <w:p>
      <w:pPr>
        <w:numPr>
          <w:ilvl w:val="0"/>
          <w:numId w:val="15"/>
        </w:numPr>
        <w:ind w:left="420" w:leftChars="0" w:hanging="420" w:firstLineChars="0"/>
        <w:rPr>
          <w:rFonts w:hint="default" w:cs="Times New Roman"/>
          <w:b/>
          <w:bCs/>
          <w:sz w:val="21"/>
          <w:szCs w:val="21"/>
          <w:highlight w:val="none"/>
          <w:lang w:val="en-US" w:eastAsia="zh-CN"/>
        </w:rPr>
      </w:pPr>
      <w:r>
        <w:rPr>
          <w:rFonts w:hint="eastAsia" w:cs="Times New Roman"/>
          <w:b/>
          <w:bCs/>
          <w:sz w:val="21"/>
          <w:szCs w:val="21"/>
          <w:highlight w:val="none"/>
          <w:lang w:val="en-US" w:eastAsia="zh-CN"/>
        </w:rPr>
        <w:t xml:space="preserve">Option 1-3: configure dedicated TAC for parent node along the trajectory of mobile IAB node </w:t>
      </w:r>
    </w:p>
    <w:p>
      <w:pPr>
        <w:numPr>
          <w:ilvl w:val="0"/>
          <w:numId w:val="0"/>
        </w:numPr>
        <w:ind w:leftChars="0"/>
        <w:jc w:val="both"/>
        <w:rPr>
          <w:rFonts w:hint="eastAsia"/>
          <w:highlight w:val="none"/>
          <w:lang w:val="en-US" w:eastAsia="zh-CN"/>
        </w:rPr>
      </w:pPr>
      <w:r>
        <w:rPr>
          <w:rFonts w:hint="eastAsia" w:cs="Times New Roman"/>
          <w:b w:val="0"/>
          <w:bCs w:val="0"/>
          <w:sz w:val="21"/>
          <w:szCs w:val="21"/>
          <w:highlight w:val="none"/>
          <w:lang w:val="en-US" w:eastAsia="zh-CN"/>
        </w:rPr>
        <w:t>Suppose the trajectory of mobile IAB node is predictable, both the mobile IAB node</w:t>
      </w:r>
      <w:r>
        <w:rPr>
          <w:rFonts w:hint="default" w:cs="Times New Roman"/>
          <w:b w:val="0"/>
          <w:bCs w:val="0"/>
          <w:sz w:val="21"/>
          <w:szCs w:val="21"/>
          <w:highlight w:val="none"/>
          <w:lang w:val="en-US" w:eastAsia="zh-CN"/>
        </w:rPr>
        <w:t>’</w:t>
      </w:r>
      <w:r>
        <w:rPr>
          <w:rFonts w:hint="eastAsia" w:cs="Times New Roman"/>
          <w:b w:val="0"/>
          <w:bCs w:val="0"/>
          <w:sz w:val="21"/>
          <w:szCs w:val="21"/>
          <w:highlight w:val="none"/>
          <w:lang w:val="en-US" w:eastAsia="zh-CN"/>
        </w:rPr>
        <w:t xml:space="preserve">s DU and the potential parent DUs along the trajectory of mobile IAB node can be pre-configured with the dedicated TAC for mobile IAB. </w:t>
      </w:r>
      <w:r>
        <w:rPr>
          <w:rFonts w:hint="eastAsia" w:cs="Times New Roman"/>
          <w:sz w:val="21"/>
          <w:szCs w:val="21"/>
          <w:highlight w:val="none"/>
          <w:lang w:val="en-US" w:eastAsia="zh-CN"/>
        </w:rPr>
        <w:t>In this case, when the mobile IAB node performs HO to a new target parent DU, the TAC broadcast by mobile IAB-node-DU</w:t>
      </w:r>
      <w:r>
        <w:rPr>
          <w:rFonts w:hint="default" w:cs="Times New Roman"/>
          <w:sz w:val="21"/>
          <w:szCs w:val="21"/>
          <w:highlight w:val="none"/>
          <w:lang w:val="en-US" w:eastAsia="zh-CN"/>
        </w:rPr>
        <w:t>’</w:t>
      </w:r>
      <w:r>
        <w:rPr>
          <w:rFonts w:hint="eastAsia" w:cs="Times New Roman"/>
          <w:sz w:val="21"/>
          <w:szCs w:val="21"/>
          <w:highlight w:val="none"/>
          <w:lang w:val="en-US" w:eastAsia="zh-CN"/>
        </w:rPr>
        <w:t>s cell is included in the TACs broadcast by parent DU</w:t>
      </w:r>
      <w:r>
        <w:rPr>
          <w:rFonts w:hint="default" w:cs="Times New Roman"/>
          <w:sz w:val="21"/>
          <w:szCs w:val="21"/>
          <w:highlight w:val="none"/>
          <w:lang w:val="en-US" w:eastAsia="zh-CN"/>
        </w:rPr>
        <w:t>’</w:t>
      </w:r>
      <w:r>
        <w:rPr>
          <w:rFonts w:hint="eastAsia" w:cs="Times New Roman"/>
          <w:sz w:val="21"/>
          <w:szCs w:val="21"/>
          <w:highlight w:val="none"/>
          <w:lang w:val="en-US" w:eastAsia="zh-CN"/>
        </w:rPr>
        <w:t>s cell. Thus</w:t>
      </w:r>
      <w:r>
        <w:rPr>
          <w:rFonts w:hint="eastAsia"/>
          <w:highlight w:val="none"/>
          <w:lang w:val="en-US" w:eastAsia="zh-CN"/>
        </w:rPr>
        <w:t xml:space="preserve"> the mobile IAB-node-DU does not need to change the TAC broadcast in its served cell. Hence, the UE served by the mobile IAB node does not detect the tracking area change and the the TAU can be avoided. </w:t>
      </w:r>
    </w:p>
    <w:p>
      <w:pPr>
        <w:numPr>
          <w:ilvl w:val="0"/>
          <w:numId w:val="0"/>
        </w:numPr>
        <w:ind w:leftChars="0"/>
        <w:jc w:val="both"/>
        <w:rPr>
          <w:rFonts w:hint="default"/>
          <w:highlight w:val="none"/>
          <w:lang w:val="en-US" w:eastAsia="zh-CN"/>
        </w:rPr>
      </w:pPr>
      <w:r>
        <w:rPr>
          <w:rFonts w:hint="eastAsia"/>
          <w:highlight w:val="none"/>
          <w:lang w:val="en-US" w:eastAsia="zh-CN"/>
        </w:rPr>
        <w:t xml:space="preserve">In a sum, the potential RAN3 impacts for different TAU enhancements in mobile IAB scenario is categorized in Table 1. As we can see, Option 1-1 is similar to the NR satellite solution. However, it involves potential RAN3 impacts. Option 1-2 can leverage existing F1/NG signalling for TAC configuration and paging. Option 1-3 can be up to network implementation.  </w:t>
      </w:r>
    </w:p>
    <w:p>
      <w:pPr>
        <w:numPr>
          <w:ilvl w:val="0"/>
          <w:numId w:val="0"/>
        </w:numPr>
        <w:ind w:leftChars="0"/>
        <w:jc w:val="both"/>
        <w:rPr>
          <w:rFonts w:hint="default"/>
          <w:highlight w:val="none"/>
          <w:lang w:val="en-US" w:eastAsia="zh-CN"/>
        </w:rPr>
      </w:pPr>
      <w:r>
        <w:rPr>
          <w:rFonts w:hint="eastAsia"/>
          <w:b w:val="0"/>
          <w:bCs w:val="0"/>
          <w:highlight w:val="none"/>
          <w:lang w:val="en-US" w:eastAsia="zh-CN"/>
        </w:rPr>
        <w:t xml:space="preserve">Table 1 </w:t>
      </w:r>
      <w:r>
        <w:rPr>
          <w:rFonts w:hint="eastAsia"/>
          <w:highlight w:val="none"/>
          <w:lang w:val="en-US" w:eastAsia="zh-CN"/>
        </w:rPr>
        <w:t>Potential RAN3 impacts for different TAU enhancements in mobile IAB scenario</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7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Options for TAU</w:t>
            </w:r>
          </w:p>
        </w:tc>
        <w:tc>
          <w:tcPr>
            <w:tcW w:w="7827"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RAN3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 1-1</w:t>
            </w:r>
          </w:p>
        </w:tc>
        <w:tc>
          <w:tcPr>
            <w:tcW w:w="7827" w:type="dxa"/>
          </w:tcPr>
          <w:p>
            <w:pPr>
              <w:numPr>
                <w:ilvl w:val="0"/>
                <w:numId w:val="16"/>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lang w:val="en-US" w:eastAsia="zh-CN"/>
              </w:rPr>
              <w:t xml:space="preserve">mobile IAB-node-DU update the broadcast TAC value </w:t>
            </w:r>
            <w:r>
              <w:rPr>
                <w:rFonts w:hint="default" w:ascii="Times New Roman" w:hAnsi="Times New Roman" w:cs="Times New Roman"/>
                <w:b w:val="0"/>
                <w:bCs w:val="0"/>
              </w:rPr>
              <w:t xml:space="preserve">in </w:t>
            </w:r>
            <w:r>
              <w:rPr>
                <w:rFonts w:hint="default" w:ascii="Times New Roman" w:hAnsi="Times New Roman" w:cs="Times New Roman"/>
                <w:b w:val="0"/>
                <w:bCs w:val="0"/>
                <w:lang w:val="en-US" w:eastAsia="zh-CN"/>
              </w:rPr>
              <w:t>the</w:t>
            </w:r>
            <w:r>
              <w:rPr>
                <w:rFonts w:hint="default" w:ascii="Times New Roman" w:hAnsi="Times New Roman" w:cs="Times New Roman"/>
                <w:b w:val="0"/>
                <w:bCs w:val="0"/>
              </w:rPr>
              <w:t xml:space="preserve"> cell</w:t>
            </w:r>
            <w:r>
              <w:rPr>
                <w:rFonts w:hint="default" w:ascii="Times New Roman" w:hAnsi="Times New Roman" w:cs="Times New Roman"/>
                <w:b w:val="0"/>
                <w:bCs w:val="0"/>
                <w:lang w:val="en-US" w:eastAsia="zh-CN"/>
              </w:rPr>
              <w:t>’</w:t>
            </w:r>
            <w:r>
              <w:rPr>
                <w:rFonts w:hint="default" w:ascii="Times New Roman" w:hAnsi="Times New Roman" w:cs="Times New Roman"/>
                <w:b w:val="0"/>
                <w:bCs w:val="0"/>
              </w:rPr>
              <w:t>s system information</w:t>
            </w:r>
            <w:r>
              <w:rPr>
                <w:rFonts w:hint="default" w:ascii="Times New Roman" w:hAnsi="Times New Roman" w:cs="Times New Roman"/>
                <w:highlight w:val="none"/>
                <w:lang w:val="en-US" w:eastAsia="zh-CN"/>
              </w:rPr>
              <w:t xml:space="preserve"> to align with the the one broadcast by target parent DU’s cell, or</w:t>
            </w:r>
          </w:p>
          <w:p>
            <w:pPr>
              <w:numPr>
                <w:ilvl w:val="0"/>
                <w:numId w:val="16"/>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lang w:val="en-US" w:eastAsia="zh-CN"/>
              </w:rPr>
              <w:t>donor CU send the TAC configuration to mobile IAB-node-DU and then mobile IAB-node-DU broadcast this configured TAC value the cell’s system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 1-2</w:t>
            </w:r>
          </w:p>
        </w:tc>
        <w:tc>
          <w:tcPr>
            <w:tcW w:w="7827"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No RAN3 specification impacts is anticipated.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 1-3</w:t>
            </w:r>
          </w:p>
        </w:tc>
        <w:tc>
          <w:tcPr>
            <w:tcW w:w="7827"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No RAN3 specification impacts is anticipated.</w:t>
            </w:r>
          </w:p>
        </w:tc>
      </w:tr>
    </w:tbl>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both"/>
        <w:textAlignment w:val="auto"/>
        <w:rPr>
          <w:rFonts w:hint="default" w:ascii="Times New Roman" w:hAnsi="Times New Roman" w:cs="Times New Roman"/>
          <w:b/>
          <w:bCs/>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both"/>
        <w:textAlignment w:val="auto"/>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2: For the TAU of UE</w:t>
      </w:r>
      <w:r>
        <w:rPr>
          <w:rFonts w:hint="default" w:cs="Times New Roman"/>
          <w:b/>
          <w:bCs/>
          <w:sz w:val="20"/>
          <w:szCs w:val="20"/>
          <w:highlight w:val="none"/>
          <w:lang w:val="en-US" w:eastAsia="zh-CN"/>
        </w:rPr>
        <w:t>’</w:t>
      </w:r>
      <w:r>
        <w:rPr>
          <w:rFonts w:hint="eastAsia" w:cs="Times New Roman"/>
          <w:b/>
          <w:bCs/>
          <w:sz w:val="20"/>
          <w:szCs w:val="20"/>
          <w:highlight w:val="none"/>
          <w:lang w:val="en-US" w:eastAsia="zh-CN"/>
        </w:rPr>
        <w:t xml:space="preserve">s served by mobile IAB node, the following options may be considered and the potential RAN3 impacts need to be further discussed.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100" w:firstLine="602" w:firstLineChars="300"/>
        <w:jc w:val="both"/>
        <w:textAlignment w:val="auto"/>
        <w:rPr>
          <w:rFonts w:hint="eastAsia" w:cs="Times New Roman"/>
          <w:b/>
          <w:bCs/>
          <w:sz w:val="20"/>
          <w:szCs w:val="20"/>
          <w:lang w:val="en-US" w:eastAsia="zh-CN"/>
        </w:rPr>
      </w:pPr>
      <w:r>
        <w:rPr>
          <w:rFonts w:hint="eastAsia" w:cs="Times New Roman"/>
          <w:b/>
          <w:bCs/>
          <w:sz w:val="20"/>
          <w:szCs w:val="20"/>
          <w:highlight w:val="none"/>
          <w:lang w:val="en-US" w:eastAsia="zh-CN"/>
        </w:rPr>
        <w:t xml:space="preserve">Option 1-1: </w:t>
      </w:r>
      <w:r>
        <w:rPr>
          <w:rFonts w:hint="eastAsia" w:cs="Times New Roman"/>
          <w:b/>
          <w:bCs/>
          <w:sz w:val="20"/>
          <w:szCs w:val="20"/>
          <w:lang w:val="en-US" w:eastAsia="zh-CN"/>
        </w:rPr>
        <w:t>change the TAC values that are broadcast in mobile IAB-node-DU</w:t>
      </w:r>
      <w:r>
        <w:rPr>
          <w:rFonts w:hint="default" w:cs="Times New Roman"/>
          <w:b/>
          <w:bCs/>
          <w:sz w:val="20"/>
          <w:szCs w:val="20"/>
          <w:lang w:val="en-US" w:eastAsia="zh-CN"/>
        </w:rPr>
        <w:t>’</w:t>
      </w:r>
      <w:r>
        <w:rPr>
          <w:rFonts w:hint="eastAsia" w:cs="Times New Roman"/>
          <w:b/>
          <w:bCs/>
          <w:sz w:val="20"/>
          <w:szCs w:val="20"/>
          <w:lang w:val="en-US" w:eastAsia="zh-CN"/>
        </w:rPr>
        <w:t xml:space="preserve">s cells;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100" w:firstLine="602" w:firstLineChars="300"/>
        <w:jc w:val="both"/>
        <w:textAlignment w:val="auto"/>
        <w:rPr>
          <w:rFonts w:hint="eastAsia" w:cs="Times New Roman"/>
          <w:b/>
          <w:bCs/>
          <w:sz w:val="20"/>
          <w:szCs w:val="20"/>
          <w:highlight w:val="none"/>
          <w:lang w:val="en-US" w:eastAsia="zh-CN"/>
        </w:rPr>
      </w:pPr>
      <w:r>
        <w:rPr>
          <w:rFonts w:hint="eastAsia" w:cs="Times New Roman"/>
          <w:b/>
          <w:bCs/>
          <w:sz w:val="20"/>
          <w:szCs w:val="20"/>
          <w:lang w:val="en-US" w:eastAsia="zh-CN"/>
        </w:rPr>
        <w:t xml:space="preserve">Option 1-2: </w:t>
      </w:r>
      <w:r>
        <w:rPr>
          <w:rFonts w:hint="eastAsia" w:cs="Times New Roman"/>
          <w:b/>
          <w:bCs/>
          <w:sz w:val="20"/>
          <w:szCs w:val="20"/>
          <w:highlight w:val="none"/>
          <w:lang w:val="en-US" w:eastAsia="zh-CN"/>
        </w:rPr>
        <w:t xml:space="preserve">configure dedicated TAC for mobile IAB-node-DU and inform donor node;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0" w:firstLineChars="0"/>
        <w:jc w:val="both"/>
        <w:textAlignment w:val="auto"/>
        <w:rPr>
          <w:rFonts w:hint="default"/>
          <w:highlight w:val="none"/>
          <w:lang w:val="en-US" w:eastAsia="zh-CN"/>
        </w:rPr>
      </w:pPr>
      <w:r>
        <w:rPr>
          <w:rFonts w:hint="eastAsia" w:cs="Times New Roman"/>
          <w:b/>
          <w:bCs/>
          <w:sz w:val="20"/>
          <w:szCs w:val="20"/>
          <w:highlight w:val="none"/>
          <w:lang w:val="en-US" w:eastAsia="zh-CN"/>
        </w:rPr>
        <w:t>Option 1-3: configure dedicated TAC</w:t>
      </w:r>
      <w:r>
        <w:rPr>
          <w:rFonts w:hint="eastAsia" w:cs="Times New Roman"/>
          <w:b/>
          <w:bCs/>
          <w:sz w:val="20"/>
          <w:szCs w:val="20"/>
          <w:lang w:val="en-US" w:eastAsia="zh-CN"/>
        </w:rPr>
        <w:t xml:space="preserve"> </w:t>
      </w:r>
      <w:r>
        <w:rPr>
          <w:rFonts w:hint="eastAsia" w:cs="Times New Roman"/>
          <w:b/>
          <w:bCs/>
          <w:sz w:val="20"/>
          <w:szCs w:val="20"/>
          <w:highlight w:val="none"/>
          <w:lang w:val="en-US" w:eastAsia="zh-CN"/>
        </w:rPr>
        <w:t xml:space="preserve">for mobile IAB node and parent node along the trajectory of mobile IAB node. </w:t>
      </w:r>
      <w:r>
        <w:rPr>
          <w:rFonts w:hint="eastAsia" w:cs="Times New Roman"/>
          <w:b w:val="0"/>
          <w:bCs w:val="0"/>
          <w:sz w:val="20"/>
          <w:szCs w:val="20"/>
          <w:highlight w:val="none"/>
          <w:lang w:val="en-US" w:eastAsia="zh-CN"/>
        </w:rPr>
        <w:t xml:space="preserve"> </w:t>
      </w:r>
    </w:p>
    <w:p>
      <w:pPr>
        <w:pStyle w:val="4"/>
        <w:bidi w:val="0"/>
        <w:rPr>
          <w:rFonts w:hint="default"/>
          <w:lang w:val="en-US" w:eastAsia="zh-CN"/>
        </w:rPr>
      </w:pPr>
      <w:r>
        <w:rPr>
          <w:rFonts w:hint="eastAsia"/>
          <w:lang w:val="en-US" w:eastAsia="zh-CN"/>
        </w:rPr>
        <w:t>Potential RAN3 impacts for RNAU enhancement</w:t>
      </w:r>
    </w:p>
    <w:p>
      <w:pPr>
        <w:jc w:val="both"/>
        <w:rPr>
          <w:rFonts w:hint="default"/>
          <w:lang w:val="en-US" w:eastAsia="zh-CN"/>
        </w:rPr>
      </w:pPr>
      <w:r>
        <w:rPr>
          <w:rFonts w:hint="eastAsia"/>
          <w:lang w:val="en-US" w:eastAsia="zh-CN"/>
        </w:rPr>
        <w:t xml:space="preserve">Similar to TAU, the RNAU in mobile IAB scenario also involves a large group of UEs and should be avoided. Generally speaking, the </w:t>
      </w:r>
      <w:r>
        <w:rPr>
          <w:rFonts w:hint="eastAsia" w:cs="Times New Roman"/>
          <w:sz w:val="21"/>
          <w:szCs w:val="21"/>
          <w:lang w:val="en-US" w:eastAsia="zh-CN"/>
        </w:rPr>
        <w:t xml:space="preserve">following options may be considered: </w:t>
      </w:r>
    </w:p>
    <w:p>
      <w:pPr>
        <w:numPr>
          <w:ilvl w:val="0"/>
          <w:numId w:val="15"/>
        </w:numPr>
        <w:ind w:left="420" w:leftChars="0" w:hanging="420" w:firstLineChars="0"/>
        <w:rPr>
          <w:rFonts w:hint="default" w:ascii="Times New Roman" w:hAnsi="Times New Roman" w:eastAsia="Dutch801BT-Roman" w:cs="Times New Roman"/>
          <w:b/>
          <w:bCs/>
          <w:sz w:val="21"/>
          <w:szCs w:val="21"/>
        </w:rPr>
      </w:pPr>
      <w:r>
        <w:rPr>
          <w:rFonts w:hint="eastAsia" w:cs="Times New Roman"/>
          <w:b/>
          <w:bCs/>
          <w:sz w:val="21"/>
          <w:szCs w:val="21"/>
          <w:lang w:val="en-US" w:eastAsia="zh-CN"/>
        </w:rPr>
        <w:t>Option 2-1: change the RANAC values that are broadcast in mobile IAB-node-DU</w:t>
      </w:r>
      <w:r>
        <w:rPr>
          <w:rFonts w:hint="default" w:cs="Times New Roman"/>
          <w:b/>
          <w:bCs/>
          <w:sz w:val="21"/>
          <w:szCs w:val="21"/>
          <w:lang w:val="en-US" w:eastAsia="zh-CN"/>
        </w:rPr>
        <w:t>’</w:t>
      </w:r>
      <w:r>
        <w:rPr>
          <w:rFonts w:hint="eastAsia" w:cs="Times New Roman"/>
          <w:b/>
          <w:bCs/>
          <w:sz w:val="21"/>
          <w:szCs w:val="21"/>
          <w:lang w:val="en-US" w:eastAsia="zh-CN"/>
        </w:rPr>
        <w:t>s cells</w:t>
      </w:r>
    </w:p>
    <w:p>
      <w:pPr>
        <w:numPr>
          <w:ilvl w:val="0"/>
          <w:numId w:val="0"/>
        </w:numPr>
        <w:ind w:leftChars="0"/>
        <w:jc w:val="both"/>
        <w:rPr>
          <w:rFonts w:hint="eastAsia"/>
          <w:highlight w:val="none"/>
          <w:lang w:val="en-US" w:eastAsia="zh-CN"/>
        </w:rPr>
      </w:pPr>
      <w:r>
        <w:rPr>
          <w:rFonts w:hint="eastAsia"/>
          <w:highlight w:val="none"/>
          <w:lang w:val="en-US" w:eastAsia="zh-CN"/>
        </w:rPr>
        <w:t xml:space="preserve">When the mobile IAB-node performs HO from source parent DU1 to target parent DU2, the mobile IAB-MT may detect that </w:t>
      </w:r>
      <w:r>
        <w:rPr>
          <w:highlight w:val="none"/>
        </w:rPr>
        <w:t xml:space="preserve">the </w:t>
      </w:r>
      <w:r>
        <w:rPr>
          <w:rFonts w:hint="eastAsia"/>
          <w:highlight w:val="none"/>
          <w:lang w:val="en-US" w:eastAsia="zh-CN"/>
        </w:rPr>
        <w:t>RANAC of target parent DU2</w:t>
      </w:r>
      <w:r>
        <w:rPr>
          <w:rFonts w:hint="default"/>
          <w:highlight w:val="none"/>
          <w:lang w:val="en-US" w:eastAsia="zh-CN"/>
        </w:rPr>
        <w:t>’</w:t>
      </w:r>
      <w:r>
        <w:rPr>
          <w:rFonts w:hint="eastAsia"/>
          <w:highlight w:val="none"/>
          <w:lang w:val="en-US" w:eastAsia="zh-CN"/>
        </w:rPr>
        <w:t>s cell is different from the RANAC broadcast by co-located mobile IAB-DU. In order to keep the UE reachability within RAN area, the mobile IAB-DU</w:t>
      </w:r>
      <w:r>
        <w:rPr>
          <w:rFonts w:hint="default"/>
          <w:highlight w:val="none"/>
          <w:lang w:val="en-US" w:eastAsia="zh-CN"/>
        </w:rPr>
        <w:t>’</w:t>
      </w:r>
      <w:r>
        <w:rPr>
          <w:rFonts w:hint="eastAsia"/>
          <w:highlight w:val="none"/>
          <w:lang w:val="en-US" w:eastAsia="zh-CN"/>
        </w:rPr>
        <w:t>s cells may change the RANAC values broadcast to keep align with the serving cell of parent DU2. Alternatively, the donor CU may send the RANAC configuration to mobile IAB-node-DU and then mobile IAB-node-DU</w:t>
      </w:r>
      <w:r>
        <w:rPr>
          <w:rFonts w:hint="default"/>
          <w:highlight w:val="none"/>
          <w:lang w:val="en-US" w:eastAsia="zh-CN"/>
        </w:rPr>
        <w:t>’</w:t>
      </w:r>
      <w:r>
        <w:rPr>
          <w:rFonts w:hint="eastAsia"/>
          <w:highlight w:val="none"/>
          <w:lang w:val="en-US" w:eastAsia="zh-CN"/>
        </w:rPr>
        <w:t xml:space="preserve">s cell broadcast this RANAC value in system information. </w:t>
      </w:r>
    </w:p>
    <w:p>
      <w:pPr>
        <w:numPr>
          <w:ilvl w:val="0"/>
          <w:numId w:val="0"/>
        </w:numPr>
        <w:ind w:leftChars="0"/>
        <w:jc w:val="both"/>
        <w:rPr>
          <w:rFonts w:hint="eastAsia"/>
          <w:sz w:val="20"/>
          <w:szCs w:val="20"/>
          <w:highlight w:val="none"/>
          <w:lang w:val="en-US" w:eastAsia="zh-CN"/>
        </w:rPr>
      </w:pPr>
      <w:r>
        <w:rPr>
          <w:rFonts w:hint="eastAsia"/>
          <w:sz w:val="20"/>
          <w:szCs w:val="20"/>
          <w:highlight w:val="none"/>
          <w:lang w:val="en-US" w:eastAsia="zh-CN"/>
        </w:rPr>
        <w:t>In this case, the RRC_INACTIVE UEs served by the mobile IAB-DU</w:t>
      </w:r>
      <w:r>
        <w:rPr>
          <w:rFonts w:hint="default"/>
          <w:sz w:val="20"/>
          <w:szCs w:val="20"/>
          <w:highlight w:val="none"/>
          <w:lang w:val="en-US" w:eastAsia="zh-CN"/>
        </w:rPr>
        <w:t>’</w:t>
      </w:r>
      <w:r>
        <w:rPr>
          <w:rFonts w:hint="eastAsia"/>
          <w:sz w:val="20"/>
          <w:szCs w:val="20"/>
          <w:highlight w:val="none"/>
          <w:lang w:val="en-US" w:eastAsia="zh-CN"/>
        </w:rPr>
        <w:t>s cell may initiate the RNAU procedure</w:t>
      </w:r>
      <w:r>
        <w:rPr>
          <w:rFonts w:hint="default" w:ascii="Times New Roman" w:hAnsi="Times New Roman" w:eastAsia="Dutch801BT-Roman" w:cs="Times New Roman"/>
          <w:sz w:val="20"/>
          <w:szCs w:val="20"/>
        </w:rPr>
        <w:t xml:space="preserve"> if the UE finds that</w:t>
      </w:r>
      <w:r>
        <w:rPr>
          <w:rFonts w:hint="eastAsia" w:cs="Times New Roman"/>
          <w:sz w:val="20"/>
          <w:szCs w:val="20"/>
          <w:lang w:val="en-US" w:eastAsia="zh-CN"/>
        </w:rPr>
        <w:t xml:space="preserve"> </w:t>
      </w:r>
      <w:r>
        <w:rPr>
          <w:rFonts w:hint="default" w:ascii="Times New Roman" w:hAnsi="Times New Roman" w:eastAsia="Dutch801BT-Roman" w:cs="Times New Roman"/>
          <w:sz w:val="20"/>
          <w:szCs w:val="20"/>
        </w:rPr>
        <w:t xml:space="preserve">the broadcast </w:t>
      </w:r>
      <w:r>
        <w:rPr>
          <w:rFonts w:hint="eastAsia" w:cs="Times New Roman"/>
          <w:sz w:val="20"/>
          <w:szCs w:val="20"/>
          <w:lang w:val="en-US" w:eastAsia="zh-CN"/>
        </w:rPr>
        <w:t>RANAC</w:t>
      </w:r>
      <w:r>
        <w:rPr>
          <w:rFonts w:hint="default" w:ascii="Times New Roman" w:hAnsi="Times New Roman" w:eastAsia="Dutch801BT-Roman" w:cs="Times New Roman"/>
          <w:sz w:val="20"/>
          <w:szCs w:val="20"/>
        </w:rPr>
        <w:t xml:space="preserve"> of the </w:t>
      </w:r>
      <w:r>
        <w:rPr>
          <w:rFonts w:hint="eastAsia" w:cs="Times New Roman"/>
          <w:sz w:val="20"/>
          <w:szCs w:val="20"/>
          <w:lang w:val="en-US" w:eastAsia="zh-CN"/>
        </w:rPr>
        <w:t>served</w:t>
      </w:r>
      <w:r>
        <w:rPr>
          <w:rFonts w:hint="default" w:ascii="Times New Roman" w:hAnsi="Times New Roman" w:eastAsia="Dutch801BT-Roman" w:cs="Times New Roman"/>
          <w:sz w:val="20"/>
          <w:szCs w:val="20"/>
        </w:rPr>
        <w:t xml:space="preserve"> cell is </w:t>
      </w:r>
      <w:r>
        <w:rPr>
          <w:rFonts w:hint="eastAsia" w:cs="Times New Roman"/>
          <w:sz w:val="20"/>
          <w:szCs w:val="20"/>
          <w:lang w:val="en-US" w:eastAsia="zh-CN"/>
        </w:rPr>
        <w:t xml:space="preserve">different from the RANAC configured </w:t>
      </w:r>
      <w:r>
        <w:rPr>
          <w:rFonts w:hint="default" w:ascii="Times New Roman" w:hAnsi="Times New Roman" w:eastAsia="Dutch801BT-Roman" w:cs="Times New Roman"/>
          <w:sz w:val="20"/>
          <w:szCs w:val="20"/>
        </w:rPr>
        <w:t>by the UE</w:t>
      </w:r>
      <w:r>
        <w:rPr>
          <w:rFonts w:hint="default" w:cs="Times New Roman"/>
          <w:sz w:val="20"/>
          <w:szCs w:val="20"/>
          <w:lang w:val="en-US" w:eastAsia="zh-CN"/>
        </w:rPr>
        <w:t>’</w:t>
      </w:r>
      <w:r>
        <w:rPr>
          <w:rFonts w:hint="eastAsia" w:cs="Times New Roman"/>
          <w:sz w:val="20"/>
          <w:szCs w:val="20"/>
          <w:lang w:val="en-US" w:eastAsia="zh-CN"/>
        </w:rPr>
        <w:t>s last serving gNB. During the RNAU procedure, the RRC_INACTIVE UE1</w:t>
      </w:r>
      <w:r>
        <w:rPr>
          <w:rFonts w:hint="default" w:cs="Times New Roman"/>
          <w:sz w:val="20"/>
          <w:szCs w:val="20"/>
          <w:lang w:val="en-US" w:eastAsia="zh-CN"/>
        </w:rPr>
        <w:t>’</w:t>
      </w:r>
      <w:r>
        <w:rPr>
          <w:rFonts w:hint="eastAsia" w:cs="Times New Roman"/>
          <w:sz w:val="20"/>
          <w:szCs w:val="20"/>
          <w:lang w:val="en-US" w:eastAsia="zh-CN"/>
        </w:rPr>
        <w:t>s context may be retrieved from last serving gNB to target donor CU2. After the RNAU procedure, the UE may be reconfigured with the new RANAC and re-enter RRC_INACTIVE state. Now the target donor CU2 become the last serving gNB.</w:t>
      </w:r>
    </w:p>
    <w:p>
      <w:pPr>
        <w:numPr>
          <w:ilvl w:val="0"/>
          <w:numId w:val="15"/>
        </w:numPr>
        <w:ind w:left="420" w:leftChars="0" w:hanging="420" w:firstLineChars="0"/>
        <w:rPr>
          <w:rFonts w:hint="default" w:ascii="Times New Roman" w:hAnsi="Times New Roman" w:eastAsia="Dutch801BT-Roman" w:cs="Times New Roman"/>
          <w:b/>
          <w:bCs/>
          <w:sz w:val="21"/>
          <w:szCs w:val="21"/>
          <w:highlight w:val="none"/>
        </w:rPr>
      </w:pPr>
      <w:r>
        <w:rPr>
          <w:rFonts w:hint="eastAsia" w:cs="Times New Roman"/>
          <w:b/>
          <w:bCs/>
          <w:sz w:val="21"/>
          <w:szCs w:val="21"/>
          <w:highlight w:val="none"/>
          <w:lang w:val="en-US" w:eastAsia="zh-CN"/>
        </w:rPr>
        <w:t>Option 2-2: configure dedicated RANAC for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and transfer context of RRC_INACTIVE UE to new donor CU</w:t>
      </w:r>
    </w:p>
    <w:p>
      <w:pPr>
        <w:rPr>
          <w:rFonts w:hint="eastAsia" w:cs="Times New Roman"/>
          <w:sz w:val="20"/>
          <w:szCs w:val="20"/>
          <w:lang w:val="en-US" w:eastAsia="zh-CN"/>
        </w:rPr>
      </w:pPr>
      <w:r>
        <w:rPr>
          <w:rFonts w:hint="eastAsia"/>
          <w:sz w:val="20"/>
          <w:szCs w:val="20"/>
          <w:lang w:val="en-US" w:eastAsia="zh-CN"/>
        </w:rPr>
        <w:t>Considering that the mobile IAB mode moves along with the vehicles, a specific RAN area which include the served cells of mobile IAB-node-DU can be defined. In this case, the</w:t>
      </w:r>
      <w:r>
        <w:rPr>
          <w:rFonts w:hint="eastAsia" w:cs="Times New Roman"/>
          <w:sz w:val="20"/>
          <w:szCs w:val="20"/>
          <w:lang w:val="en-US" w:eastAsia="zh-CN"/>
        </w:rPr>
        <w:t xml:space="preserve"> RRC_INACTIVE UEs served by the mobile IAB-node-DU</w:t>
      </w:r>
      <w:r>
        <w:rPr>
          <w:rFonts w:hint="default" w:cs="Times New Roman"/>
          <w:sz w:val="20"/>
          <w:szCs w:val="20"/>
          <w:lang w:val="en-US" w:eastAsia="zh-CN"/>
        </w:rPr>
        <w:t>’</w:t>
      </w:r>
      <w:r>
        <w:rPr>
          <w:rFonts w:hint="eastAsia" w:cs="Times New Roman"/>
          <w:sz w:val="20"/>
          <w:szCs w:val="20"/>
          <w:lang w:val="en-US" w:eastAsia="zh-CN"/>
        </w:rPr>
        <w:t xml:space="preserve">s cell does not need to perform RNAU when it moves within the coverage area of mobile IAB-node-DU. However, when RRC_INACTIVE UE moves out of this area, it needs to perform RNAU since the RAN area for mobile IAB node and other stationary node is different. </w:t>
      </w:r>
    </w:p>
    <w:p>
      <w:pPr>
        <w:rPr>
          <w:rFonts w:hint="default" w:cs="Times New Roman"/>
          <w:sz w:val="21"/>
          <w:szCs w:val="21"/>
          <w:highlight w:val="none"/>
          <w:lang w:val="en-US" w:eastAsia="zh-CN"/>
        </w:rPr>
      </w:pPr>
      <w:r>
        <w:rPr>
          <w:rFonts w:hint="eastAsia" w:cs="Times New Roman"/>
          <w:sz w:val="20"/>
          <w:szCs w:val="20"/>
          <w:highlight w:val="none"/>
          <w:lang w:val="en-US" w:eastAsia="zh-CN"/>
        </w:rPr>
        <w:t xml:space="preserve">It is not clear if the potential donor DUs </w:t>
      </w:r>
      <w:r>
        <w:rPr>
          <w:rFonts w:hint="eastAsia" w:cs="Times New Roman"/>
          <w:b w:val="0"/>
          <w:bCs w:val="0"/>
          <w:sz w:val="20"/>
          <w:szCs w:val="20"/>
          <w:highlight w:val="none"/>
          <w:lang w:val="en-US" w:eastAsia="zh-CN"/>
        </w:rPr>
        <w:t>along the trajectory of mobile IAB node have Xn connection or not. If yes, the current serving donor CU can always retrieve the RRC_INACTIVE UE</w:t>
      </w:r>
      <w:r>
        <w:rPr>
          <w:rFonts w:hint="default" w:cs="Times New Roman"/>
          <w:b w:val="0"/>
          <w:bCs w:val="0"/>
          <w:sz w:val="20"/>
          <w:szCs w:val="20"/>
          <w:highlight w:val="none"/>
          <w:lang w:val="en-US" w:eastAsia="zh-CN"/>
        </w:rPr>
        <w:t>’</w:t>
      </w:r>
      <w:r>
        <w:rPr>
          <w:rFonts w:hint="eastAsia" w:cs="Times New Roman"/>
          <w:b w:val="0"/>
          <w:bCs w:val="0"/>
          <w:sz w:val="20"/>
          <w:szCs w:val="20"/>
          <w:highlight w:val="none"/>
          <w:lang w:val="en-US" w:eastAsia="zh-CN"/>
        </w:rPr>
        <w:t xml:space="preserve">s context from the last serving donor DU when necessary. Otherwise, </w:t>
      </w:r>
      <w:r>
        <w:rPr>
          <w:rFonts w:hint="eastAsia" w:cs="Times New Roman"/>
          <w:sz w:val="20"/>
          <w:szCs w:val="20"/>
          <w:highlight w:val="none"/>
          <w:lang w:val="en-US" w:eastAsia="zh-CN"/>
        </w:rPr>
        <w:t xml:space="preserve">it is necessary for the source donor CU to send the context of RRC_INACTIVE UE to target donor CU when the mobile IAB node performs HO. In addition, the path switch for the RRC_INACTIVE UE from source donor CU to target donor CU should be performed.  </w:t>
      </w:r>
    </w:p>
    <w:p>
      <w:pPr>
        <w:numPr>
          <w:ilvl w:val="0"/>
          <w:numId w:val="15"/>
        </w:numPr>
        <w:ind w:left="420" w:leftChars="0" w:hanging="420" w:firstLineChars="0"/>
        <w:rPr>
          <w:rFonts w:hint="default" w:cs="Times New Roman"/>
          <w:b/>
          <w:bCs/>
          <w:sz w:val="21"/>
          <w:szCs w:val="21"/>
          <w:highlight w:val="none"/>
          <w:lang w:val="en-US" w:eastAsia="zh-CN"/>
        </w:rPr>
      </w:pPr>
      <w:r>
        <w:rPr>
          <w:rFonts w:hint="eastAsia" w:cs="Times New Roman"/>
          <w:b/>
          <w:bCs/>
          <w:sz w:val="21"/>
          <w:szCs w:val="21"/>
          <w:highlight w:val="none"/>
          <w:lang w:val="en-US" w:eastAsia="zh-CN"/>
        </w:rPr>
        <w:t xml:space="preserve">Option 2-3: configure dedicated RANAC for parent node along the trajectory of mobile IAB node </w:t>
      </w:r>
    </w:p>
    <w:p>
      <w:pPr>
        <w:numPr>
          <w:ilvl w:val="0"/>
          <w:numId w:val="0"/>
        </w:numPr>
        <w:ind w:leftChars="0"/>
        <w:jc w:val="both"/>
        <w:rPr>
          <w:rFonts w:hint="eastAsia"/>
          <w:sz w:val="20"/>
          <w:szCs w:val="20"/>
          <w:highlight w:val="none"/>
          <w:lang w:val="en-US" w:eastAsia="zh-CN"/>
        </w:rPr>
      </w:pPr>
      <w:r>
        <w:rPr>
          <w:rFonts w:hint="eastAsia" w:cs="Times New Roman"/>
          <w:b w:val="0"/>
          <w:bCs w:val="0"/>
          <w:sz w:val="20"/>
          <w:szCs w:val="20"/>
          <w:highlight w:val="none"/>
          <w:lang w:val="en-US" w:eastAsia="zh-CN"/>
        </w:rPr>
        <w:t>Suppose the trajectory of mobile IAB node is predictable, the potential parent DUs along the trajectory of mobile IAB node may be pre-configured with the dedicated RANAC for mobile IAB node. On the other hand, the m</w:t>
      </w:r>
      <w:r>
        <w:rPr>
          <w:rFonts w:hint="eastAsia" w:cs="Times New Roman"/>
          <w:sz w:val="20"/>
          <w:szCs w:val="20"/>
          <w:highlight w:val="none"/>
          <w:lang w:val="en-US" w:eastAsia="zh-CN"/>
        </w:rPr>
        <w:t>obile IAB-node-DU may be configured with the dedicated RANAC for mobile IAB and mobile IAB-node-DU broadcast this dedicated RANAC in SIB1. When the mobile IAB node performs HO to a new target parent DU, the mobile IAB-node-MT always detects that the</w:t>
      </w:r>
      <w:r>
        <w:rPr>
          <w:sz w:val="20"/>
          <w:szCs w:val="20"/>
          <w:highlight w:val="none"/>
        </w:rPr>
        <w:t xml:space="preserve"> current </w:t>
      </w:r>
      <w:r>
        <w:rPr>
          <w:rFonts w:hint="eastAsia"/>
          <w:sz w:val="20"/>
          <w:szCs w:val="20"/>
          <w:highlight w:val="none"/>
          <w:lang w:val="en-US" w:eastAsia="zh-CN"/>
        </w:rPr>
        <w:t>RANAC</w:t>
      </w:r>
      <w:r>
        <w:rPr>
          <w:sz w:val="20"/>
          <w:szCs w:val="20"/>
          <w:highlight w:val="none"/>
        </w:rPr>
        <w:t xml:space="preserve"> of the serving cell is </w:t>
      </w:r>
      <w:r>
        <w:rPr>
          <w:rFonts w:hint="eastAsia"/>
          <w:sz w:val="20"/>
          <w:szCs w:val="20"/>
          <w:highlight w:val="none"/>
          <w:lang w:val="en-US" w:eastAsia="zh-CN"/>
        </w:rPr>
        <w:t>same with</w:t>
      </w:r>
      <w:r>
        <w:rPr>
          <w:sz w:val="20"/>
          <w:szCs w:val="20"/>
          <w:highlight w:val="none"/>
        </w:rPr>
        <w:t xml:space="preserve"> that </w:t>
      </w:r>
      <w:r>
        <w:rPr>
          <w:rFonts w:hint="eastAsia"/>
          <w:sz w:val="20"/>
          <w:szCs w:val="20"/>
          <w:highlight w:val="none"/>
          <w:lang w:val="en-US" w:eastAsia="zh-CN"/>
        </w:rPr>
        <w:t>of the co-located mobile IAB-node-DU</w:t>
      </w:r>
      <w:r>
        <w:rPr>
          <w:sz w:val="20"/>
          <w:szCs w:val="20"/>
          <w:highlight w:val="none"/>
        </w:rPr>
        <w:t xml:space="preserve"> has received from</w:t>
      </w:r>
      <w:r>
        <w:rPr>
          <w:rFonts w:hint="eastAsia"/>
          <w:sz w:val="20"/>
          <w:szCs w:val="20"/>
          <w:highlight w:val="none"/>
          <w:lang w:val="en-US" w:eastAsia="zh-CN"/>
        </w:rPr>
        <w:t xml:space="preserve"> AMF. In this case, the mobile IAB-node-DU does not need to change the RANAC broadcast in its served cell. Hence, the UE served by the mobile IAB node does not detect the RNA change and the event-triggered RNAU can be avoided. </w:t>
      </w:r>
    </w:p>
    <w:p>
      <w:pPr>
        <w:rPr>
          <w:rFonts w:hint="eastAsia"/>
          <w:sz w:val="20"/>
          <w:szCs w:val="20"/>
          <w:highlight w:val="none"/>
          <w:lang w:val="en-US" w:eastAsia="zh-CN"/>
        </w:rPr>
      </w:pPr>
      <w:r>
        <w:rPr>
          <w:rFonts w:hint="eastAsia" w:cs="Times New Roman"/>
          <w:sz w:val="20"/>
          <w:szCs w:val="20"/>
          <w:highlight w:val="none"/>
          <w:lang w:val="en-US" w:eastAsia="zh-CN"/>
        </w:rPr>
        <w:t xml:space="preserve">Suppose the </w:t>
      </w:r>
      <w:r>
        <w:rPr>
          <w:rFonts w:hint="eastAsia" w:cs="Times New Roman"/>
          <w:b w:val="0"/>
          <w:bCs w:val="0"/>
          <w:sz w:val="20"/>
          <w:szCs w:val="20"/>
          <w:highlight w:val="none"/>
          <w:lang w:val="en-US" w:eastAsia="zh-CN"/>
        </w:rPr>
        <w:t>potential donor DUs along the trajectory of mobile IAB node have Xn connection, it is safe to conclude that the current donor CU can always retrieve the RRC_INACTIVE UE</w:t>
      </w:r>
      <w:r>
        <w:rPr>
          <w:rFonts w:hint="default" w:cs="Times New Roman"/>
          <w:b w:val="0"/>
          <w:bCs w:val="0"/>
          <w:sz w:val="20"/>
          <w:szCs w:val="20"/>
          <w:highlight w:val="none"/>
          <w:lang w:val="en-US" w:eastAsia="zh-CN"/>
        </w:rPr>
        <w:t>’</w:t>
      </w:r>
      <w:r>
        <w:rPr>
          <w:rFonts w:hint="eastAsia" w:cs="Times New Roman"/>
          <w:b w:val="0"/>
          <w:bCs w:val="0"/>
          <w:sz w:val="20"/>
          <w:szCs w:val="20"/>
          <w:highlight w:val="none"/>
          <w:lang w:val="en-US" w:eastAsia="zh-CN"/>
        </w:rPr>
        <w:t xml:space="preserve">s context from the last serving donor CU when necessary. Otherwise, </w:t>
      </w:r>
      <w:r>
        <w:rPr>
          <w:rFonts w:hint="eastAsia" w:cs="Times New Roman"/>
          <w:sz w:val="20"/>
          <w:szCs w:val="20"/>
          <w:highlight w:val="none"/>
          <w:lang w:val="en-US" w:eastAsia="zh-CN"/>
        </w:rPr>
        <w:t xml:space="preserve">when the mobile IAB node performs HO from source donor CU to target donor CU, source donor CU may send the context of RRC_INACTIVE UE to target donor CU and the path switch for the RRC_INACTIVE UE needs to be performed.  </w:t>
      </w:r>
    </w:p>
    <w:p>
      <w:pPr>
        <w:numPr>
          <w:ilvl w:val="0"/>
          <w:numId w:val="15"/>
        </w:numPr>
        <w:ind w:left="420" w:leftChars="0" w:hanging="420" w:firstLineChars="0"/>
        <w:rPr>
          <w:rFonts w:hint="eastAsia"/>
          <w:sz w:val="20"/>
          <w:szCs w:val="20"/>
          <w:highlight w:val="none"/>
          <w:lang w:val="en-US" w:eastAsia="zh-CN"/>
        </w:rPr>
      </w:pPr>
      <w:r>
        <w:rPr>
          <w:rFonts w:hint="eastAsia" w:cs="Times New Roman"/>
          <w:b/>
          <w:bCs/>
          <w:sz w:val="21"/>
          <w:szCs w:val="21"/>
          <w:highlight w:val="none"/>
          <w:lang w:val="en-US" w:eastAsia="zh-CN"/>
        </w:rPr>
        <w:t>Option 2-4: replace the old NCGI with new NCGI of moble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for the cells within the RNA configured at UE</w:t>
      </w:r>
    </w:p>
    <w:p>
      <w:pPr>
        <w:numPr>
          <w:ilvl w:val="0"/>
          <w:numId w:val="0"/>
        </w:numPr>
        <w:ind w:leftChars="0"/>
        <w:jc w:val="both"/>
        <w:rPr>
          <w:rFonts w:hint="eastAsia"/>
          <w:sz w:val="20"/>
          <w:szCs w:val="20"/>
          <w:highlight w:val="none"/>
          <w:lang w:val="en-US" w:eastAsia="zh-CN"/>
        </w:rPr>
      </w:pPr>
      <w:r>
        <w:rPr>
          <w:rFonts w:hint="eastAsia" w:cs="Times New Roman"/>
          <w:sz w:val="20"/>
          <w:szCs w:val="20"/>
          <w:lang w:val="en-US" w:eastAsia="zh-CN"/>
        </w:rPr>
        <w:t>Suppose the RAN area is defined in terms of a list of cells and UE is configured with a list of cells for RNA when entering into RRC_INACTIVE state, the UEs served by the mobile IAB-node-DU may detect that the NCGI change of mobile IAB-node-DU when the mobile IAB node performs HO. It is very likely that the new NCGI of mobile IAB-node-DU is not included in the list of cells for UE's RNA and the RRC_INACTIVE UE served by the mobile IAB-node-DU will perform the RNAU procedure. In order to reduce unnecessary RNAU, it is possible for the</w:t>
      </w:r>
      <w:r>
        <w:rPr>
          <w:rFonts w:hint="eastAsia"/>
          <w:sz w:val="20"/>
          <w:szCs w:val="20"/>
          <w:highlight w:val="none"/>
          <w:lang w:val="en-US" w:eastAsia="zh-CN"/>
        </w:rPr>
        <w:t xml:space="preserve"> RRC_INACTIVE UE served by the cells of mobile IAB-node-DU to replace the old NCGI with the new one in its cell list of RAN area. In this way, UE does not perform RNAU. However, it means the UE need to be enhanced to support this feature. </w:t>
      </w:r>
    </w:p>
    <w:p>
      <w:pPr>
        <w:numPr>
          <w:ilvl w:val="0"/>
          <w:numId w:val="0"/>
        </w:numPr>
        <w:ind w:leftChars="0"/>
        <w:jc w:val="both"/>
        <w:rPr>
          <w:rFonts w:hint="eastAsia"/>
          <w:lang w:val="en-US" w:eastAsia="zh-CN"/>
        </w:rPr>
      </w:pPr>
      <w:r>
        <w:rPr>
          <w:rFonts w:hint="eastAsia" w:cs="Times New Roman"/>
          <w:sz w:val="20"/>
          <w:szCs w:val="20"/>
          <w:highlight w:val="none"/>
          <w:lang w:val="en-US" w:eastAsia="zh-CN"/>
        </w:rPr>
        <w:t xml:space="preserve">Similar to option 2-2, when the mobile IAB node performs HO from source donor CU to target donor CU, it may be necessary for the source donor CU to send the context of RRC_INACTIVE UE to target donor CU. In addition, the path switch for the RRC_INACTIVE UE from source donor CU to target donor CU should be performed. </w:t>
      </w:r>
      <w:r>
        <w:rPr>
          <w:rFonts w:hint="eastAsia"/>
          <w:lang w:val="en-US" w:eastAsia="zh-CN"/>
        </w:rPr>
        <w:t>In this way, when the DL data of RRC_INACTIVE UE arrives at UPF, it may be delivered to the target donor CU currently serving the mobile IAB-node-DU. Then the target donor CU may deliver the RAN paging message to the mobile IAB-node-DU which subsequently broadcast the RAN paging message.</w:t>
      </w:r>
    </w:p>
    <w:p>
      <w:pPr>
        <w:numPr>
          <w:ilvl w:val="0"/>
          <w:numId w:val="0"/>
        </w:numPr>
        <w:ind w:leftChars="0"/>
        <w:jc w:val="both"/>
        <w:rPr>
          <w:rFonts w:hint="eastAsia"/>
          <w:lang w:val="en-US" w:eastAsia="zh-CN"/>
        </w:rPr>
      </w:pPr>
      <w:r>
        <w:rPr>
          <w:rFonts w:hint="eastAsia"/>
          <w:highlight w:val="none"/>
          <w:lang w:val="en-US" w:eastAsia="zh-CN"/>
        </w:rPr>
        <w:t>In a sum, the potential RAN3 impacts for different RNAU enhancements in mobile IAB scenario is categorized in Table 2. As we can see, Option 1-1 may have F1AP impacts. For option 2-2 to 2-4, it depends on whether</w:t>
      </w:r>
      <w:r>
        <w:rPr>
          <w:rFonts w:hint="eastAsia" w:cs="Times New Roman"/>
          <w:sz w:val="20"/>
          <w:szCs w:val="20"/>
          <w:highlight w:val="none"/>
          <w:lang w:val="en-US" w:eastAsia="zh-CN"/>
        </w:rPr>
        <w:t xml:space="preserve"> the Xn connection between the </w:t>
      </w:r>
      <w:r>
        <w:rPr>
          <w:rFonts w:hint="eastAsia" w:cs="Times New Roman"/>
          <w:b w:val="0"/>
          <w:bCs w:val="0"/>
          <w:sz w:val="20"/>
          <w:szCs w:val="20"/>
          <w:highlight w:val="none"/>
          <w:lang w:val="en-US" w:eastAsia="zh-CN"/>
        </w:rPr>
        <w:t>potential donor CUs along the trajectory of mobile IAB node can be ensured. If not, it may have additional Xn impacts.</w:t>
      </w:r>
    </w:p>
    <w:p>
      <w:pPr>
        <w:numPr>
          <w:ilvl w:val="0"/>
          <w:numId w:val="0"/>
        </w:numPr>
        <w:ind w:leftChars="0"/>
        <w:jc w:val="both"/>
        <w:rPr>
          <w:rFonts w:hint="default"/>
          <w:highlight w:val="none"/>
          <w:lang w:val="en-US" w:eastAsia="zh-CN"/>
        </w:rPr>
      </w:pPr>
      <w:r>
        <w:rPr>
          <w:rFonts w:hint="eastAsia"/>
          <w:b/>
          <w:bCs/>
          <w:highlight w:val="none"/>
          <w:lang w:val="en-US" w:eastAsia="zh-CN"/>
        </w:rPr>
        <w:t>Table 2</w:t>
      </w:r>
      <w:r>
        <w:rPr>
          <w:rFonts w:hint="eastAsia"/>
          <w:highlight w:val="none"/>
          <w:lang w:val="en-US" w:eastAsia="zh-CN"/>
        </w:rPr>
        <w:t xml:space="preserve"> Potential RAN3 impacts for different RNAU enhancements in mobile IAB scenario</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7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Options for RNAU</w:t>
            </w:r>
          </w:p>
        </w:tc>
        <w:tc>
          <w:tcPr>
            <w:tcW w:w="7827"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RAN3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 2-1</w:t>
            </w:r>
          </w:p>
        </w:tc>
        <w:tc>
          <w:tcPr>
            <w:tcW w:w="7827" w:type="dxa"/>
          </w:tcPr>
          <w:p>
            <w:pPr>
              <w:numPr>
                <w:ilvl w:val="0"/>
                <w:numId w:val="17"/>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lang w:val="en-US" w:eastAsia="zh-CN"/>
              </w:rPr>
              <w:t xml:space="preserve">mobile IAB-node-DU update the broadcast RANAC value </w:t>
            </w:r>
            <w:r>
              <w:rPr>
                <w:rFonts w:hint="default" w:ascii="Times New Roman" w:hAnsi="Times New Roman" w:cs="Times New Roman"/>
                <w:b w:val="0"/>
                <w:bCs w:val="0"/>
              </w:rPr>
              <w:t xml:space="preserve">in </w:t>
            </w:r>
            <w:r>
              <w:rPr>
                <w:rFonts w:hint="default" w:ascii="Times New Roman" w:hAnsi="Times New Roman" w:cs="Times New Roman"/>
                <w:b w:val="0"/>
                <w:bCs w:val="0"/>
                <w:lang w:val="en-US" w:eastAsia="zh-CN"/>
              </w:rPr>
              <w:t>the</w:t>
            </w:r>
            <w:r>
              <w:rPr>
                <w:rFonts w:hint="default" w:ascii="Times New Roman" w:hAnsi="Times New Roman" w:cs="Times New Roman"/>
                <w:b w:val="0"/>
                <w:bCs w:val="0"/>
              </w:rPr>
              <w:t xml:space="preserve"> cell</w:t>
            </w:r>
            <w:r>
              <w:rPr>
                <w:rFonts w:hint="default" w:ascii="Times New Roman" w:hAnsi="Times New Roman" w:cs="Times New Roman"/>
                <w:b w:val="0"/>
                <w:bCs w:val="0"/>
                <w:lang w:val="en-US" w:eastAsia="zh-CN"/>
              </w:rPr>
              <w:t>’</w:t>
            </w:r>
            <w:r>
              <w:rPr>
                <w:rFonts w:hint="default" w:ascii="Times New Roman" w:hAnsi="Times New Roman" w:cs="Times New Roman"/>
                <w:b w:val="0"/>
                <w:bCs w:val="0"/>
              </w:rPr>
              <w:t>s system information</w:t>
            </w:r>
            <w:r>
              <w:rPr>
                <w:rFonts w:hint="default" w:ascii="Times New Roman" w:hAnsi="Times New Roman" w:cs="Times New Roman"/>
                <w:highlight w:val="none"/>
                <w:lang w:val="en-US" w:eastAsia="zh-CN"/>
              </w:rPr>
              <w:t xml:space="preserve"> to align with the the one broadcast by target parent DU’s cell, or</w:t>
            </w:r>
          </w:p>
          <w:p>
            <w:pPr>
              <w:numPr>
                <w:ilvl w:val="0"/>
                <w:numId w:val="17"/>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lang w:val="en-US" w:eastAsia="zh-CN"/>
              </w:rPr>
              <w:t>donor CU send the RANAC configuration to mobile IAB-node-DU and then mobile IAB-node-DU broadcast this configured RANAC value in the cell’s system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 2-2</w:t>
            </w:r>
          </w:p>
        </w:tc>
        <w:tc>
          <w:tcPr>
            <w:tcW w:w="7827" w:type="dxa"/>
          </w:tcPr>
          <w:p>
            <w:pPr>
              <w:numPr>
                <w:ilvl w:val="0"/>
                <w:numId w:val="0"/>
              </w:numPr>
              <w:jc w:val="both"/>
              <w:rPr>
                <w:rFonts w:hint="default" w:ascii="Times New Roman" w:hAnsi="Times New Roman" w:cs="Times New Roman"/>
                <w:highlight w:val="none"/>
                <w:vertAlign w:val="baseline"/>
                <w:lang w:val="en-US" w:eastAsia="zh-CN"/>
              </w:rPr>
            </w:pPr>
            <w:r>
              <w:rPr>
                <w:rFonts w:hint="eastAsia"/>
                <w:highlight w:val="none"/>
                <w:lang w:val="en-US" w:eastAsia="zh-CN"/>
              </w:rPr>
              <w:t>depends on whether</w:t>
            </w:r>
            <w:r>
              <w:rPr>
                <w:rFonts w:hint="eastAsia" w:cs="Times New Roman"/>
                <w:sz w:val="20"/>
                <w:szCs w:val="20"/>
                <w:highlight w:val="none"/>
                <w:lang w:val="en-US" w:eastAsia="zh-CN"/>
              </w:rPr>
              <w:t xml:space="preserve"> the Xn connection between the </w:t>
            </w:r>
            <w:r>
              <w:rPr>
                <w:rFonts w:hint="eastAsia" w:cs="Times New Roman"/>
                <w:b w:val="0"/>
                <w:bCs w:val="0"/>
                <w:sz w:val="20"/>
                <w:szCs w:val="20"/>
                <w:highlight w:val="none"/>
                <w:lang w:val="en-US" w:eastAsia="zh-CN"/>
              </w:rPr>
              <w:t>potential donor CUs along the trajectory of mobile IAB node can be ensured</w:t>
            </w:r>
            <w:r>
              <w:rPr>
                <w:rFonts w:hint="default" w:ascii="Times New Roman" w:hAnsi="Times New Roman" w:cs="Times New Roman"/>
                <w:sz w:val="2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 2-3</w:t>
            </w:r>
          </w:p>
        </w:tc>
        <w:tc>
          <w:tcPr>
            <w:tcW w:w="7827" w:type="dxa"/>
          </w:tcPr>
          <w:p>
            <w:pPr>
              <w:numPr>
                <w:ilvl w:val="0"/>
                <w:numId w:val="0"/>
              </w:numPr>
              <w:jc w:val="both"/>
              <w:rPr>
                <w:rFonts w:hint="default" w:ascii="Times New Roman" w:hAnsi="Times New Roman" w:cs="Times New Roman"/>
                <w:highlight w:val="none"/>
                <w:vertAlign w:val="baseline"/>
                <w:lang w:val="en-US" w:eastAsia="zh-CN"/>
              </w:rPr>
            </w:pPr>
            <w:r>
              <w:rPr>
                <w:rFonts w:hint="eastAsia"/>
                <w:highlight w:val="none"/>
                <w:lang w:val="en-US" w:eastAsia="zh-CN"/>
              </w:rPr>
              <w:t>depends on whether</w:t>
            </w:r>
            <w:r>
              <w:rPr>
                <w:rFonts w:hint="eastAsia" w:cs="Times New Roman"/>
                <w:sz w:val="20"/>
                <w:szCs w:val="20"/>
                <w:highlight w:val="none"/>
                <w:lang w:val="en-US" w:eastAsia="zh-CN"/>
              </w:rPr>
              <w:t xml:space="preserve"> the Xn connection between the </w:t>
            </w:r>
            <w:r>
              <w:rPr>
                <w:rFonts w:hint="eastAsia" w:cs="Times New Roman"/>
                <w:b w:val="0"/>
                <w:bCs w:val="0"/>
                <w:sz w:val="20"/>
                <w:szCs w:val="20"/>
                <w:highlight w:val="none"/>
                <w:lang w:val="en-US" w:eastAsia="zh-CN"/>
              </w:rPr>
              <w:t>potential donor CUs along the trajectory of mobile IAB node can be ensured</w:t>
            </w:r>
            <w:r>
              <w:rPr>
                <w:rFonts w:hint="default" w:ascii="Times New Roman" w:hAnsi="Times New Roman" w:cs="Times New Roman"/>
                <w:sz w:val="2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pPr>
              <w:numPr>
                <w:ilvl w:val="0"/>
                <w:numId w:val="0"/>
              </w:numPr>
              <w:jc w:val="both"/>
              <w:rPr>
                <w:rFonts w:hint="default" w:ascii="Times New Roman" w:hAnsi="Times New Roman" w:cs="Times New Roman"/>
                <w:highlight w:val="none"/>
                <w:vertAlign w:val="baseline"/>
                <w:lang w:val="en-US" w:eastAsia="zh-CN"/>
              </w:rPr>
            </w:pPr>
            <w:r>
              <w:rPr>
                <w:rFonts w:hint="default" w:ascii="Times New Roman" w:hAnsi="Times New Roman" w:cs="Times New Roman"/>
                <w:highlight w:val="none"/>
                <w:vertAlign w:val="baseline"/>
                <w:lang w:val="en-US" w:eastAsia="zh-CN"/>
              </w:rPr>
              <w:t>Option 2-4</w:t>
            </w:r>
          </w:p>
        </w:tc>
        <w:tc>
          <w:tcPr>
            <w:tcW w:w="7827" w:type="dxa"/>
          </w:tcPr>
          <w:p>
            <w:pPr>
              <w:numPr>
                <w:ilvl w:val="0"/>
                <w:numId w:val="0"/>
              </w:numPr>
              <w:jc w:val="both"/>
              <w:rPr>
                <w:rFonts w:hint="default" w:ascii="Times New Roman" w:hAnsi="Times New Roman" w:cs="Times New Roman"/>
                <w:highlight w:val="none"/>
                <w:vertAlign w:val="baseline"/>
                <w:lang w:val="en-US" w:eastAsia="zh-CN"/>
              </w:rPr>
            </w:pPr>
            <w:r>
              <w:rPr>
                <w:rFonts w:hint="eastAsia"/>
                <w:highlight w:val="none"/>
                <w:lang w:val="en-US" w:eastAsia="zh-CN"/>
              </w:rPr>
              <w:t>depends on whether</w:t>
            </w:r>
            <w:r>
              <w:rPr>
                <w:rFonts w:hint="eastAsia" w:cs="Times New Roman"/>
                <w:sz w:val="20"/>
                <w:szCs w:val="20"/>
                <w:highlight w:val="none"/>
                <w:lang w:val="en-US" w:eastAsia="zh-CN"/>
              </w:rPr>
              <w:t xml:space="preserve"> the Xn connection between the </w:t>
            </w:r>
            <w:r>
              <w:rPr>
                <w:rFonts w:hint="eastAsia" w:cs="Times New Roman"/>
                <w:b w:val="0"/>
                <w:bCs w:val="0"/>
                <w:sz w:val="20"/>
                <w:szCs w:val="20"/>
                <w:highlight w:val="none"/>
                <w:lang w:val="en-US" w:eastAsia="zh-CN"/>
              </w:rPr>
              <w:t>potential donor CUs along the trajectory of mobile IAB node can be ensured</w:t>
            </w:r>
            <w:r>
              <w:rPr>
                <w:rFonts w:hint="default" w:ascii="Times New Roman" w:hAnsi="Times New Roman" w:cs="Times New Roman"/>
                <w:sz w:val="20"/>
                <w:szCs w:val="20"/>
                <w:highlight w:val="none"/>
                <w:lang w:val="en-US" w:eastAsia="zh-CN"/>
              </w:rPr>
              <w:t>.</w:t>
            </w:r>
          </w:p>
        </w:tc>
      </w:tr>
    </w:tbl>
    <w:p>
      <w:pPr>
        <w:numPr>
          <w:ilvl w:val="0"/>
          <w:numId w:val="0"/>
        </w:numPr>
        <w:ind w:leftChars="0"/>
        <w:jc w:val="both"/>
        <w:rPr>
          <w:rFonts w:hint="default"/>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both"/>
        <w:textAlignment w:val="auto"/>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3: For the RNAU of UE</w:t>
      </w:r>
      <w:r>
        <w:rPr>
          <w:rFonts w:hint="default" w:cs="Times New Roman"/>
          <w:b/>
          <w:bCs/>
          <w:sz w:val="20"/>
          <w:szCs w:val="20"/>
          <w:highlight w:val="none"/>
          <w:lang w:val="en-US" w:eastAsia="zh-CN"/>
        </w:rPr>
        <w:t>’</w:t>
      </w:r>
      <w:r>
        <w:rPr>
          <w:rFonts w:hint="eastAsia" w:cs="Times New Roman"/>
          <w:b/>
          <w:bCs/>
          <w:sz w:val="20"/>
          <w:szCs w:val="20"/>
          <w:highlight w:val="none"/>
          <w:lang w:val="en-US" w:eastAsia="zh-CN"/>
        </w:rPr>
        <w:t xml:space="preserve">s served by mobile IAB node, the following options may be considered  and the potential RAN3 impacts may be further discussed.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100" w:firstLine="602" w:firstLineChars="300"/>
        <w:jc w:val="both"/>
        <w:textAlignment w:val="auto"/>
        <w:rPr>
          <w:rFonts w:hint="eastAsia" w:cs="Times New Roman"/>
          <w:b/>
          <w:bCs/>
          <w:sz w:val="20"/>
          <w:szCs w:val="20"/>
          <w:lang w:val="en-US" w:eastAsia="zh-CN"/>
        </w:rPr>
      </w:pPr>
      <w:r>
        <w:rPr>
          <w:rFonts w:hint="eastAsia" w:cs="Times New Roman"/>
          <w:b/>
          <w:bCs/>
          <w:sz w:val="20"/>
          <w:szCs w:val="20"/>
          <w:highlight w:val="none"/>
          <w:lang w:val="en-US" w:eastAsia="zh-CN"/>
        </w:rPr>
        <w:t xml:space="preserve">Option 2-1: </w:t>
      </w:r>
      <w:r>
        <w:rPr>
          <w:rFonts w:hint="eastAsia" w:cs="Times New Roman"/>
          <w:b/>
          <w:bCs/>
          <w:sz w:val="20"/>
          <w:szCs w:val="20"/>
          <w:lang w:val="en-US" w:eastAsia="zh-CN"/>
        </w:rPr>
        <w:t>change the RANAC values that are broadcast in mobile IAB-node-DU</w:t>
      </w:r>
      <w:r>
        <w:rPr>
          <w:rFonts w:hint="default" w:cs="Times New Roman"/>
          <w:b/>
          <w:bCs/>
          <w:sz w:val="20"/>
          <w:szCs w:val="20"/>
          <w:lang w:val="en-US" w:eastAsia="zh-CN"/>
        </w:rPr>
        <w:t>’</w:t>
      </w:r>
      <w:r>
        <w:rPr>
          <w:rFonts w:hint="eastAsia" w:cs="Times New Roman"/>
          <w:b/>
          <w:bCs/>
          <w:sz w:val="20"/>
          <w:szCs w:val="20"/>
          <w:lang w:val="en-US" w:eastAsia="zh-CN"/>
        </w:rPr>
        <w:t xml:space="preserve">s cells;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30" w:firstLineChars="15"/>
        <w:jc w:val="both"/>
        <w:textAlignment w:val="auto"/>
        <w:rPr>
          <w:rFonts w:hint="eastAsia" w:cs="Times New Roman"/>
          <w:b/>
          <w:bCs/>
          <w:sz w:val="20"/>
          <w:szCs w:val="20"/>
          <w:highlight w:val="none"/>
          <w:lang w:val="en-US" w:eastAsia="zh-CN"/>
        </w:rPr>
      </w:pPr>
      <w:r>
        <w:rPr>
          <w:rFonts w:hint="eastAsia" w:cs="Times New Roman"/>
          <w:b/>
          <w:bCs/>
          <w:sz w:val="20"/>
          <w:szCs w:val="20"/>
          <w:lang w:val="en-US" w:eastAsia="zh-CN"/>
        </w:rPr>
        <w:t xml:space="preserve">Option 2-2: </w:t>
      </w:r>
      <w:r>
        <w:rPr>
          <w:rFonts w:hint="eastAsia" w:cs="Times New Roman"/>
          <w:b/>
          <w:bCs/>
          <w:sz w:val="20"/>
          <w:szCs w:val="20"/>
          <w:highlight w:val="none"/>
          <w:lang w:val="en-US" w:eastAsia="zh-CN"/>
        </w:rPr>
        <w:t xml:space="preserve">configure dedicated </w:t>
      </w:r>
      <w:r>
        <w:rPr>
          <w:rFonts w:hint="eastAsia" w:cs="Times New Roman"/>
          <w:b/>
          <w:bCs/>
          <w:sz w:val="20"/>
          <w:szCs w:val="20"/>
          <w:lang w:val="en-US" w:eastAsia="zh-CN"/>
        </w:rPr>
        <w:t>RANAC</w:t>
      </w:r>
      <w:r>
        <w:rPr>
          <w:rFonts w:hint="eastAsia" w:cs="Times New Roman"/>
          <w:b/>
          <w:bCs/>
          <w:sz w:val="20"/>
          <w:szCs w:val="20"/>
          <w:highlight w:val="none"/>
          <w:lang w:val="en-US" w:eastAsia="zh-CN"/>
        </w:rPr>
        <w:t xml:space="preserve"> for mobile IAB-node-DU and</w:t>
      </w:r>
      <w:r>
        <w:rPr>
          <w:rFonts w:hint="eastAsia" w:cs="Times New Roman"/>
          <w:b/>
          <w:bCs/>
          <w:sz w:val="21"/>
          <w:szCs w:val="21"/>
          <w:highlight w:val="none"/>
          <w:lang w:val="en-US" w:eastAsia="zh-CN"/>
        </w:rPr>
        <w:t xml:space="preserve"> transfer context of RRC_INACTIVE UE to new donor CU</w:t>
      </w:r>
      <w:r>
        <w:rPr>
          <w:rFonts w:hint="eastAsia" w:cs="Times New Roman"/>
          <w:b/>
          <w:bCs/>
          <w:sz w:val="20"/>
          <w:szCs w:val="2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0" w:firstLineChars="0"/>
        <w:jc w:val="both"/>
        <w:textAlignment w:val="auto"/>
        <w:rPr>
          <w:rFonts w:hint="eastAsia" w:cs="Times New Roman"/>
          <w:b/>
          <w:bCs/>
          <w:sz w:val="20"/>
          <w:szCs w:val="20"/>
          <w:highlight w:val="none"/>
          <w:lang w:val="en-US" w:eastAsia="zh-CN"/>
        </w:rPr>
      </w:pPr>
      <w:r>
        <w:rPr>
          <w:rFonts w:hint="eastAsia" w:cs="Times New Roman"/>
          <w:b/>
          <w:bCs/>
          <w:sz w:val="20"/>
          <w:szCs w:val="20"/>
          <w:highlight w:val="none"/>
          <w:lang w:val="en-US" w:eastAsia="zh-CN"/>
        </w:rPr>
        <w:t xml:space="preserve">Option 2-3: configure dedicated </w:t>
      </w:r>
      <w:r>
        <w:rPr>
          <w:rFonts w:hint="eastAsia" w:cs="Times New Roman"/>
          <w:b/>
          <w:bCs/>
          <w:sz w:val="20"/>
          <w:szCs w:val="20"/>
          <w:lang w:val="en-US" w:eastAsia="zh-CN"/>
        </w:rPr>
        <w:t xml:space="preserve">RANAC </w:t>
      </w:r>
      <w:r>
        <w:rPr>
          <w:rFonts w:hint="eastAsia" w:cs="Times New Roman"/>
          <w:b/>
          <w:bCs/>
          <w:sz w:val="20"/>
          <w:szCs w:val="20"/>
          <w:highlight w:val="none"/>
          <w:lang w:val="en-US" w:eastAsia="zh-CN"/>
        </w:rPr>
        <w:t>for mobile IAB node and parent node along the trajectory of mobile IAB node;</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0" w:firstLineChars="0"/>
        <w:jc w:val="both"/>
        <w:textAlignment w:val="auto"/>
        <w:rPr>
          <w:rFonts w:hint="default" w:ascii="Times New Roman" w:hAnsi="Times New Roman" w:cs="Times New Roman"/>
          <w:b/>
          <w:bCs/>
          <w:sz w:val="20"/>
          <w:szCs w:val="20"/>
          <w:lang w:val="en-US"/>
        </w:rPr>
      </w:pPr>
      <w:r>
        <w:rPr>
          <w:rFonts w:hint="eastAsia" w:cs="Times New Roman"/>
          <w:b/>
          <w:bCs/>
          <w:sz w:val="20"/>
          <w:szCs w:val="20"/>
          <w:highlight w:val="none"/>
          <w:lang w:val="en-US" w:eastAsia="zh-CN"/>
        </w:rPr>
        <w:t xml:space="preserve">Option 2-4: </w:t>
      </w:r>
      <w:r>
        <w:rPr>
          <w:rFonts w:hint="eastAsia" w:cs="Times New Roman"/>
          <w:b/>
          <w:bCs/>
          <w:sz w:val="21"/>
          <w:szCs w:val="21"/>
          <w:highlight w:val="none"/>
          <w:lang w:val="en-US" w:eastAsia="zh-CN"/>
        </w:rPr>
        <w:t>replace the old NCGI with new NCGI of moble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for the cells within the RNA configured at UE</w:t>
      </w:r>
      <w:r>
        <w:rPr>
          <w:rFonts w:hint="eastAsia" w:cs="Times New Roman"/>
          <w:b/>
          <w:bCs/>
          <w:sz w:val="20"/>
          <w:szCs w:val="20"/>
          <w:highlight w:val="none"/>
          <w:lang w:val="en-US" w:eastAsia="zh-CN"/>
        </w:rPr>
        <w:t>.</w:t>
      </w:r>
    </w:p>
    <w:p>
      <w:pPr>
        <w:pStyle w:val="2"/>
        <w:jc w:val="both"/>
        <w:rPr>
          <w:rFonts w:eastAsia="宋体"/>
          <w:highlight w:val="none"/>
          <w:lang w:eastAsia="zh-CN"/>
        </w:rPr>
      </w:pPr>
      <w:r>
        <w:rPr>
          <w:rFonts w:hint="eastAsia" w:eastAsia="宋体"/>
          <w:highlight w:val="none"/>
          <w:lang w:eastAsia="zh-CN"/>
        </w:rPr>
        <w:t>Conclusion</w:t>
      </w:r>
    </w:p>
    <w:p>
      <w:pPr>
        <w:pStyle w:val="7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 the potential RAN2 group mobility impacts of supporting UE TAU/RNAU in mobile IAB scenario And we have the following proposals:</w:t>
      </w:r>
    </w:p>
    <w:p>
      <w:pPr>
        <w:jc w:val="both"/>
        <w:rPr>
          <w:rFonts w:hint="default"/>
          <w:b/>
          <w:bCs/>
          <w:lang w:val="en-US" w:eastAsia="zh-CN"/>
        </w:rPr>
      </w:pPr>
      <w:r>
        <w:rPr>
          <w:rFonts w:hint="eastAsia"/>
          <w:b/>
          <w:bCs/>
          <w:lang w:val="en-US" w:eastAsia="zh-CN"/>
        </w:rPr>
        <w:t xml:space="preserve">Observation 1: UE may perform: 1) periodic TAU (RRC_IDLE state), 2) event-triggered TAU </w:t>
      </w:r>
      <w:r>
        <w:rPr>
          <w:b/>
          <w:bCs/>
        </w:rPr>
        <w:t xml:space="preserve">when </w:t>
      </w:r>
      <w:r>
        <w:rPr>
          <w:rFonts w:hint="eastAsia"/>
          <w:b/>
          <w:bCs/>
          <w:lang w:val="en-US" w:eastAsia="zh-CN"/>
        </w:rPr>
        <w:t>the TAI of current serving cell is not with</w:t>
      </w:r>
      <w:r>
        <w:rPr>
          <w:b/>
          <w:bCs/>
          <w:highlight w:val="none"/>
        </w:rPr>
        <w:t>in the list of TAIs that the UE has received from the network</w:t>
      </w:r>
      <w:r>
        <w:rPr>
          <w:rFonts w:hint="eastAsia"/>
          <w:b/>
          <w:bCs/>
          <w:highlight w:val="none"/>
          <w:lang w:val="en-US" w:eastAsia="zh-CN"/>
        </w:rPr>
        <w:t xml:space="preserve"> (either RRC_IDLE or RRC_Connected state)</w:t>
      </w:r>
      <w:r>
        <w:rPr>
          <w:rFonts w:hint="eastAsia"/>
          <w:b/>
          <w:bCs/>
          <w:lang w:val="en-US" w:eastAsia="zh-CN"/>
        </w:rPr>
        <w:t>.</w:t>
      </w:r>
    </w:p>
    <w:p>
      <w:pPr>
        <w:rPr>
          <w:rFonts w:hint="eastAsia"/>
          <w:b/>
          <w:bCs/>
          <w:lang w:val="en-US" w:eastAsia="zh-CN"/>
        </w:rPr>
      </w:pPr>
      <w:r>
        <w:rPr>
          <w:rFonts w:hint="eastAsia"/>
          <w:b/>
          <w:bCs/>
          <w:lang w:val="en-US" w:eastAsia="zh-CN"/>
        </w:rPr>
        <w:t xml:space="preserve">Observation 2: RRC_INACTIVE UE may perform: 1) periodic RNAU, 2) event-triggered RNAU </w:t>
      </w:r>
      <w:r>
        <w:rPr>
          <w:b/>
          <w:bCs/>
        </w:rPr>
        <w:t xml:space="preserve">when </w:t>
      </w:r>
      <w:r>
        <w:rPr>
          <w:b/>
          <w:bCs/>
          <w:highlight w:val="none"/>
        </w:rPr>
        <w:t xml:space="preserve">the UE </w:t>
      </w:r>
      <w:r>
        <w:rPr>
          <w:rFonts w:hint="eastAsia"/>
          <w:b/>
          <w:bCs/>
          <w:highlight w:val="none"/>
          <w:lang w:val="en-US" w:eastAsia="zh-CN"/>
        </w:rPr>
        <w:t>re-</w:t>
      </w:r>
      <w:r>
        <w:rPr>
          <w:b/>
          <w:bCs/>
          <w:highlight w:val="none"/>
        </w:rPr>
        <w:t xml:space="preserve">selects a cell that does not belong to </w:t>
      </w:r>
      <w:r>
        <w:rPr>
          <w:rFonts w:hint="eastAsia"/>
          <w:b/>
          <w:bCs/>
          <w:highlight w:val="none"/>
          <w:lang w:val="en-US" w:eastAsia="zh-CN"/>
        </w:rPr>
        <w:t>its previously</w:t>
      </w:r>
      <w:r>
        <w:rPr>
          <w:b/>
          <w:bCs/>
          <w:highlight w:val="none"/>
        </w:rPr>
        <w:t xml:space="preserve"> configured RNA</w:t>
      </w:r>
      <w:r>
        <w:rPr>
          <w:rFonts w:hint="eastAsia"/>
          <w:b/>
          <w:bCs/>
          <w:lang w:val="en-US" w:eastAsia="zh-CN"/>
        </w:rPr>
        <w:t>.</w:t>
      </w:r>
    </w:p>
    <w:p>
      <w:pPr>
        <w:overflowPunct w:val="0"/>
        <w:autoSpaceDE w:val="0"/>
        <w:autoSpaceDN w:val="0"/>
        <w:adjustRightInd w:val="0"/>
        <w:spacing w:before="156" w:beforeLines="50"/>
        <w:jc w:val="both"/>
        <w:rPr>
          <w:rFonts w:hint="eastAsia" w:eastAsia="宋体"/>
          <w:b/>
          <w:bCs/>
          <w:lang w:val="en-US" w:eastAsia="zh-CN"/>
        </w:rPr>
      </w:pPr>
      <w:r>
        <w:rPr>
          <w:rFonts w:hint="eastAsia"/>
          <w:b/>
          <w:bCs/>
          <w:highlight w:val="none"/>
          <w:lang w:val="en-US" w:eastAsia="zh-CN"/>
        </w:rPr>
        <w:t xml:space="preserve">Observation 3: For NR satellite access with moving cells, the </w:t>
      </w:r>
      <w:r>
        <w:rPr>
          <w:rFonts w:hint="eastAsia"/>
          <w:b/>
          <w:bCs/>
          <w:lang w:val="en-US" w:eastAsia="zh-CN"/>
        </w:rPr>
        <w:t>gNB</w:t>
      </w:r>
      <w:r>
        <w:rPr>
          <w:b/>
          <w:bCs/>
        </w:rPr>
        <w:t xml:space="preserve"> may change the TAC values that are broadcast </w:t>
      </w:r>
      <w:r>
        <w:rPr>
          <w:rFonts w:hint="eastAsia"/>
          <w:b/>
          <w:bCs/>
          <w:lang w:val="en-US" w:eastAsia="zh-CN"/>
        </w:rPr>
        <w:t xml:space="preserve">or </w:t>
      </w:r>
      <w:r>
        <w:rPr>
          <w:b/>
          <w:bCs/>
        </w:rPr>
        <w:t>broadcast in a cell more than one TAC for a PLMN</w:t>
      </w:r>
      <w:r>
        <w:rPr>
          <w:rFonts w:hint="eastAsia"/>
          <w:b/>
          <w:bCs/>
          <w:lang w:val="en-US" w:eastAsia="zh-CN"/>
        </w:rPr>
        <w:t xml:space="preserve"> </w:t>
      </w:r>
      <w:r>
        <w:rPr>
          <w:b/>
          <w:bCs/>
        </w:rPr>
        <w:t>in a cell's system information as the cell moves</w:t>
      </w:r>
      <w:r>
        <w:rPr>
          <w:rFonts w:hint="eastAsia"/>
          <w:b/>
          <w:bCs/>
          <w:lang w:val="en-US" w:eastAsia="zh-CN"/>
        </w:rPr>
        <w:t xml:space="preserve">. In addition, </w:t>
      </w:r>
      <w:r>
        <w:rPr>
          <w:rFonts w:hint="eastAsia"/>
          <w:b/>
          <w:bCs/>
          <w:highlight w:val="none"/>
          <w:lang w:val="en-US" w:eastAsia="zh-CN"/>
        </w:rPr>
        <w:t>t</w:t>
      </w:r>
      <w:r>
        <w:rPr>
          <w:b/>
          <w:bCs/>
        </w:rPr>
        <w:t xml:space="preserve">he gNB </w:t>
      </w:r>
      <w:r>
        <w:rPr>
          <w:rFonts w:hint="eastAsia"/>
          <w:b/>
          <w:bCs/>
          <w:lang w:val="en-US" w:eastAsia="zh-CN"/>
        </w:rPr>
        <w:t>provides</w:t>
      </w:r>
      <w:r>
        <w:rPr>
          <w:b/>
          <w:bCs/>
        </w:rPr>
        <w:t xml:space="preserve"> the TAI where the UE is geographically located </w:t>
      </w:r>
      <w:r>
        <w:rPr>
          <w:rFonts w:hint="eastAsia"/>
          <w:b/>
          <w:bCs/>
          <w:lang w:val="en-US" w:eastAsia="zh-CN"/>
        </w:rPr>
        <w:t xml:space="preserve">to AMF and </w:t>
      </w:r>
      <w:r>
        <w:rPr>
          <w:b/>
          <w:bCs/>
          <w:highlight w:val="none"/>
        </w:rPr>
        <w:t xml:space="preserve">AMF may take the TAI where the UE is geographically located into account to generate a suitable </w:t>
      </w:r>
      <w:r>
        <w:rPr>
          <w:rFonts w:hint="eastAsia"/>
          <w:b/>
          <w:bCs/>
          <w:highlight w:val="none"/>
          <w:lang w:val="en-US" w:eastAsia="zh-CN"/>
        </w:rPr>
        <w:t>tracking</w:t>
      </w:r>
      <w:r>
        <w:rPr>
          <w:b/>
          <w:bCs/>
          <w:highlight w:val="none"/>
        </w:rPr>
        <w:t xml:space="preserve"> </w:t>
      </w:r>
      <w:r>
        <w:rPr>
          <w:rFonts w:hint="eastAsia"/>
          <w:b/>
          <w:bCs/>
          <w:highlight w:val="none"/>
          <w:lang w:val="en-US" w:eastAsia="zh-CN"/>
        </w:rPr>
        <w:t>a</w:t>
      </w:r>
      <w:r>
        <w:rPr>
          <w:b/>
          <w:bCs/>
          <w:highlight w:val="none"/>
        </w:rPr>
        <w:t>rea for the UE.</w:t>
      </w:r>
    </w:p>
    <w:p>
      <w:pPr>
        <w:overflowPunct w:val="0"/>
        <w:autoSpaceDE w:val="0"/>
        <w:autoSpaceDN w:val="0"/>
        <w:adjustRightInd w:val="0"/>
        <w:spacing w:before="156" w:beforeLines="50"/>
        <w:jc w:val="both"/>
        <w:rPr>
          <w:rFonts w:hint="default" w:eastAsia="宋体"/>
          <w:b/>
          <w:bCs/>
          <w:lang w:val="en-US" w:eastAsia="zh-CN"/>
        </w:rPr>
      </w:pPr>
      <w:r>
        <w:rPr>
          <w:rFonts w:hint="eastAsia"/>
          <w:b/>
          <w:bCs/>
          <w:lang w:val="en-US" w:eastAsia="zh-CN"/>
        </w:rPr>
        <w:t xml:space="preserve">Proposal 1: RAN3 to consider the enhancements for reducing the event-triggered TAU/RNAU of a large group of on-board UEs served by mobile IAB.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both"/>
        <w:textAlignment w:val="auto"/>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2: For the TAU of UE</w:t>
      </w:r>
      <w:r>
        <w:rPr>
          <w:rFonts w:hint="default" w:cs="Times New Roman"/>
          <w:b/>
          <w:bCs/>
          <w:sz w:val="20"/>
          <w:szCs w:val="20"/>
          <w:highlight w:val="none"/>
          <w:lang w:val="en-US" w:eastAsia="zh-CN"/>
        </w:rPr>
        <w:t>’</w:t>
      </w:r>
      <w:r>
        <w:rPr>
          <w:rFonts w:hint="eastAsia" w:cs="Times New Roman"/>
          <w:b/>
          <w:bCs/>
          <w:sz w:val="20"/>
          <w:szCs w:val="20"/>
          <w:highlight w:val="none"/>
          <w:lang w:val="en-US" w:eastAsia="zh-CN"/>
        </w:rPr>
        <w:t xml:space="preserve">s served by mobile IAB node, the following options may be considered and the potential RAN3 impacts need to be further discussed.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100" w:firstLine="602" w:firstLineChars="300"/>
        <w:jc w:val="both"/>
        <w:textAlignment w:val="auto"/>
        <w:rPr>
          <w:rFonts w:hint="eastAsia" w:cs="Times New Roman"/>
          <w:b/>
          <w:bCs/>
          <w:sz w:val="20"/>
          <w:szCs w:val="20"/>
          <w:lang w:val="en-US" w:eastAsia="zh-CN"/>
        </w:rPr>
      </w:pPr>
      <w:r>
        <w:rPr>
          <w:rFonts w:hint="eastAsia" w:cs="Times New Roman"/>
          <w:b/>
          <w:bCs/>
          <w:sz w:val="20"/>
          <w:szCs w:val="20"/>
          <w:highlight w:val="none"/>
          <w:lang w:val="en-US" w:eastAsia="zh-CN"/>
        </w:rPr>
        <w:t xml:space="preserve">Option 1-1: </w:t>
      </w:r>
      <w:r>
        <w:rPr>
          <w:rFonts w:hint="eastAsia" w:cs="Times New Roman"/>
          <w:b/>
          <w:bCs/>
          <w:sz w:val="20"/>
          <w:szCs w:val="20"/>
          <w:lang w:val="en-US" w:eastAsia="zh-CN"/>
        </w:rPr>
        <w:t>change the TAC values that are broadcast in mobile IAB-node-DU</w:t>
      </w:r>
      <w:r>
        <w:rPr>
          <w:rFonts w:hint="default" w:cs="Times New Roman"/>
          <w:b/>
          <w:bCs/>
          <w:sz w:val="20"/>
          <w:szCs w:val="20"/>
          <w:lang w:val="en-US" w:eastAsia="zh-CN"/>
        </w:rPr>
        <w:t>’</w:t>
      </w:r>
      <w:r>
        <w:rPr>
          <w:rFonts w:hint="eastAsia" w:cs="Times New Roman"/>
          <w:b/>
          <w:bCs/>
          <w:sz w:val="20"/>
          <w:szCs w:val="20"/>
          <w:lang w:val="en-US" w:eastAsia="zh-CN"/>
        </w:rPr>
        <w:t xml:space="preserve">s cells;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100" w:firstLine="602" w:firstLineChars="300"/>
        <w:jc w:val="both"/>
        <w:textAlignment w:val="auto"/>
        <w:rPr>
          <w:rFonts w:hint="eastAsia" w:cs="Times New Roman"/>
          <w:b/>
          <w:bCs/>
          <w:sz w:val="20"/>
          <w:szCs w:val="20"/>
          <w:highlight w:val="none"/>
          <w:lang w:val="en-US" w:eastAsia="zh-CN"/>
        </w:rPr>
      </w:pPr>
      <w:r>
        <w:rPr>
          <w:rFonts w:hint="eastAsia" w:cs="Times New Roman"/>
          <w:b/>
          <w:bCs/>
          <w:sz w:val="20"/>
          <w:szCs w:val="20"/>
          <w:lang w:val="en-US" w:eastAsia="zh-CN"/>
        </w:rPr>
        <w:t xml:space="preserve">Option 1-2: </w:t>
      </w:r>
      <w:r>
        <w:rPr>
          <w:rFonts w:hint="eastAsia" w:cs="Times New Roman"/>
          <w:b/>
          <w:bCs/>
          <w:sz w:val="20"/>
          <w:szCs w:val="20"/>
          <w:highlight w:val="none"/>
          <w:lang w:val="en-US" w:eastAsia="zh-CN"/>
        </w:rPr>
        <w:t xml:space="preserve">configure dedicated TAC for mobile IAB-node-DU and inform donor node;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0" w:firstLineChars="0"/>
        <w:jc w:val="both"/>
        <w:textAlignment w:val="auto"/>
        <w:rPr>
          <w:rFonts w:hint="eastAsia" w:cs="Times New Roman"/>
          <w:b w:val="0"/>
          <w:bCs w:val="0"/>
          <w:sz w:val="20"/>
          <w:szCs w:val="20"/>
          <w:highlight w:val="none"/>
          <w:lang w:val="en-US" w:eastAsia="zh-CN"/>
        </w:rPr>
      </w:pPr>
      <w:r>
        <w:rPr>
          <w:rFonts w:hint="eastAsia" w:cs="Times New Roman"/>
          <w:b/>
          <w:bCs/>
          <w:sz w:val="20"/>
          <w:szCs w:val="20"/>
          <w:highlight w:val="none"/>
          <w:lang w:val="en-US" w:eastAsia="zh-CN"/>
        </w:rPr>
        <w:t>Option 1-3: configure dedicated TAC</w:t>
      </w:r>
      <w:r>
        <w:rPr>
          <w:rFonts w:hint="eastAsia" w:cs="Times New Roman"/>
          <w:b/>
          <w:bCs/>
          <w:sz w:val="20"/>
          <w:szCs w:val="20"/>
          <w:lang w:val="en-US" w:eastAsia="zh-CN"/>
        </w:rPr>
        <w:t xml:space="preserve"> </w:t>
      </w:r>
      <w:r>
        <w:rPr>
          <w:rFonts w:hint="eastAsia" w:cs="Times New Roman"/>
          <w:b/>
          <w:bCs/>
          <w:sz w:val="20"/>
          <w:szCs w:val="20"/>
          <w:highlight w:val="none"/>
          <w:lang w:val="en-US" w:eastAsia="zh-CN"/>
        </w:rPr>
        <w:t xml:space="preserve">for mobile IAB node and parent node along the trajectory of mobile IAB node. </w:t>
      </w:r>
      <w:r>
        <w:rPr>
          <w:rFonts w:hint="eastAsia" w:cs="Times New Roman"/>
          <w:b w:val="0"/>
          <w:bCs w:val="0"/>
          <w:sz w:val="20"/>
          <w:szCs w:val="20"/>
          <w:highlight w:val="none"/>
          <w:lang w:val="en-US" w:eastAsia="zh-CN"/>
        </w:rPr>
        <w:t xml:space="preserve"> </w:t>
      </w:r>
    </w:p>
    <w:bookmarkEnd w:id="0"/>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both"/>
        <w:textAlignment w:val="auto"/>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3: For the RNAU of UE</w:t>
      </w:r>
      <w:r>
        <w:rPr>
          <w:rFonts w:hint="default" w:cs="Times New Roman"/>
          <w:b/>
          <w:bCs/>
          <w:sz w:val="20"/>
          <w:szCs w:val="20"/>
          <w:highlight w:val="none"/>
          <w:lang w:val="en-US" w:eastAsia="zh-CN"/>
        </w:rPr>
        <w:t>’</w:t>
      </w:r>
      <w:r>
        <w:rPr>
          <w:rFonts w:hint="eastAsia" w:cs="Times New Roman"/>
          <w:b/>
          <w:bCs/>
          <w:sz w:val="20"/>
          <w:szCs w:val="20"/>
          <w:highlight w:val="none"/>
          <w:lang w:val="en-US" w:eastAsia="zh-CN"/>
        </w:rPr>
        <w:t xml:space="preserve">s served by mobile IAB node, the following options may be considered  and the potential RAN3 impacts may be further discussed.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100" w:firstLine="602" w:firstLineChars="300"/>
        <w:jc w:val="both"/>
        <w:textAlignment w:val="auto"/>
        <w:rPr>
          <w:rFonts w:hint="eastAsia" w:cs="Times New Roman"/>
          <w:b/>
          <w:bCs/>
          <w:sz w:val="20"/>
          <w:szCs w:val="20"/>
          <w:lang w:val="en-US" w:eastAsia="zh-CN"/>
        </w:rPr>
      </w:pPr>
      <w:r>
        <w:rPr>
          <w:rFonts w:hint="eastAsia" w:cs="Times New Roman"/>
          <w:b/>
          <w:bCs/>
          <w:sz w:val="20"/>
          <w:szCs w:val="20"/>
          <w:highlight w:val="none"/>
          <w:lang w:val="en-US" w:eastAsia="zh-CN"/>
        </w:rPr>
        <w:t xml:space="preserve">Option 2-1: </w:t>
      </w:r>
      <w:r>
        <w:rPr>
          <w:rFonts w:hint="eastAsia" w:cs="Times New Roman"/>
          <w:b/>
          <w:bCs/>
          <w:sz w:val="20"/>
          <w:szCs w:val="20"/>
          <w:lang w:val="en-US" w:eastAsia="zh-CN"/>
        </w:rPr>
        <w:t>change the RANAC values that are broadcast in mobile IAB-node-DU</w:t>
      </w:r>
      <w:r>
        <w:rPr>
          <w:rFonts w:hint="default" w:cs="Times New Roman"/>
          <w:b/>
          <w:bCs/>
          <w:sz w:val="20"/>
          <w:szCs w:val="20"/>
          <w:lang w:val="en-US" w:eastAsia="zh-CN"/>
        </w:rPr>
        <w:t>’</w:t>
      </w:r>
      <w:r>
        <w:rPr>
          <w:rFonts w:hint="eastAsia" w:cs="Times New Roman"/>
          <w:b/>
          <w:bCs/>
          <w:sz w:val="20"/>
          <w:szCs w:val="20"/>
          <w:lang w:val="en-US" w:eastAsia="zh-CN"/>
        </w:rPr>
        <w:t xml:space="preserve">s cells;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30" w:firstLineChars="15"/>
        <w:jc w:val="both"/>
        <w:textAlignment w:val="auto"/>
        <w:rPr>
          <w:rFonts w:hint="eastAsia" w:cs="Times New Roman"/>
          <w:b/>
          <w:bCs/>
          <w:sz w:val="20"/>
          <w:szCs w:val="20"/>
          <w:highlight w:val="none"/>
          <w:lang w:val="en-US" w:eastAsia="zh-CN"/>
        </w:rPr>
      </w:pPr>
      <w:r>
        <w:rPr>
          <w:rFonts w:hint="eastAsia" w:cs="Times New Roman"/>
          <w:b/>
          <w:bCs/>
          <w:sz w:val="20"/>
          <w:szCs w:val="20"/>
          <w:lang w:val="en-US" w:eastAsia="zh-CN"/>
        </w:rPr>
        <w:t xml:space="preserve">Option 2-2: </w:t>
      </w:r>
      <w:r>
        <w:rPr>
          <w:rFonts w:hint="eastAsia" w:cs="Times New Roman"/>
          <w:b/>
          <w:bCs/>
          <w:sz w:val="20"/>
          <w:szCs w:val="20"/>
          <w:highlight w:val="none"/>
          <w:lang w:val="en-US" w:eastAsia="zh-CN"/>
        </w:rPr>
        <w:t xml:space="preserve">configure dedicated </w:t>
      </w:r>
      <w:r>
        <w:rPr>
          <w:rFonts w:hint="eastAsia" w:cs="Times New Roman"/>
          <w:b/>
          <w:bCs/>
          <w:sz w:val="20"/>
          <w:szCs w:val="20"/>
          <w:lang w:val="en-US" w:eastAsia="zh-CN"/>
        </w:rPr>
        <w:t>RANAC</w:t>
      </w:r>
      <w:r>
        <w:rPr>
          <w:rFonts w:hint="eastAsia" w:cs="Times New Roman"/>
          <w:b/>
          <w:bCs/>
          <w:sz w:val="20"/>
          <w:szCs w:val="20"/>
          <w:highlight w:val="none"/>
          <w:lang w:val="en-US" w:eastAsia="zh-CN"/>
        </w:rPr>
        <w:t xml:space="preserve"> for mobile IAB-node-DU and</w:t>
      </w:r>
      <w:r>
        <w:rPr>
          <w:rFonts w:hint="eastAsia" w:cs="Times New Roman"/>
          <w:b/>
          <w:bCs/>
          <w:sz w:val="21"/>
          <w:szCs w:val="21"/>
          <w:highlight w:val="none"/>
          <w:lang w:val="en-US" w:eastAsia="zh-CN"/>
        </w:rPr>
        <w:t xml:space="preserve"> transfer context of RRC_INACTIVE UE to new donor CU</w:t>
      </w:r>
      <w:r>
        <w:rPr>
          <w:rFonts w:hint="eastAsia" w:cs="Times New Roman"/>
          <w:b/>
          <w:bCs/>
          <w:sz w:val="20"/>
          <w:szCs w:val="2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0" w:firstLineChars="0"/>
        <w:jc w:val="both"/>
        <w:textAlignment w:val="auto"/>
        <w:rPr>
          <w:rFonts w:hint="eastAsia" w:cs="Times New Roman"/>
          <w:b/>
          <w:bCs/>
          <w:sz w:val="20"/>
          <w:szCs w:val="20"/>
          <w:highlight w:val="none"/>
          <w:lang w:val="en-US" w:eastAsia="zh-CN"/>
        </w:rPr>
      </w:pPr>
      <w:r>
        <w:rPr>
          <w:rFonts w:hint="eastAsia" w:cs="Times New Roman"/>
          <w:b/>
          <w:bCs/>
          <w:sz w:val="20"/>
          <w:szCs w:val="20"/>
          <w:highlight w:val="none"/>
          <w:lang w:val="en-US" w:eastAsia="zh-CN"/>
        </w:rPr>
        <w:t xml:space="preserve">Option 2-3: configure dedicated </w:t>
      </w:r>
      <w:r>
        <w:rPr>
          <w:rFonts w:hint="eastAsia" w:cs="Times New Roman"/>
          <w:b/>
          <w:bCs/>
          <w:sz w:val="20"/>
          <w:szCs w:val="20"/>
          <w:lang w:val="en-US" w:eastAsia="zh-CN"/>
        </w:rPr>
        <w:t xml:space="preserve">RANAC </w:t>
      </w:r>
      <w:r>
        <w:rPr>
          <w:rFonts w:hint="eastAsia" w:cs="Times New Roman"/>
          <w:b/>
          <w:bCs/>
          <w:sz w:val="20"/>
          <w:szCs w:val="20"/>
          <w:highlight w:val="none"/>
          <w:lang w:val="en-US" w:eastAsia="zh-CN"/>
        </w:rPr>
        <w:t>for mobile IAB node and parent node along the trajectory of mobile IAB node;</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800" w:leftChars="400" w:firstLine="0" w:firstLineChars="0"/>
        <w:jc w:val="both"/>
        <w:textAlignment w:val="auto"/>
        <w:rPr>
          <w:rFonts w:hint="default" w:ascii="Times New Roman" w:hAnsi="Times New Roman" w:cs="Times New Roman"/>
          <w:b/>
          <w:bCs/>
          <w:sz w:val="20"/>
          <w:szCs w:val="20"/>
          <w:lang w:val="en-US"/>
        </w:rPr>
      </w:pPr>
      <w:r>
        <w:rPr>
          <w:rFonts w:hint="eastAsia" w:cs="Times New Roman"/>
          <w:b/>
          <w:bCs/>
          <w:sz w:val="20"/>
          <w:szCs w:val="20"/>
          <w:highlight w:val="none"/>
          <w:lang w:val="en-US" w:eastAsia="zh-CN"/>
        </w:rPr>
        <w:t xml:space="preserve">Option 2-4: </w:t>
      </w:r>
      <w:r>
        <w:rPr>
          <w:rFonts w:hint="eastAsia" w:cs="Times New Roman"/>
          <w:b/>
          <w:bCs/>
          <w:sz w:val="21"/>
          <w:szCs w:val="21"/>
          <w:highlight w:val="none"/>
          <w:lang w:val="en-US" w:eastAsia="zh-CN"/>
        </w:rPr>
        <w:t>replace the old NCGI with new NCGI of moble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for the cells within the RNA configured at UE</w:t>
      </w:r>
      <w:r>
        <w:rPr>
          <w:rFonts w:hint="eastAsia" w:cs="Times New Roman"/>
          <w:b/>
          <w:bCs/>
          <w:sz w:val="20"/>
          <w:szCs w:val="20"/>
          <w:highlight w:val="none"/>
          <w:lang w:val="en-US" w:eastAsia="zh-CN"/>
        </w:rPr>
        <w:t>.</w:t>
      </w:r>
      <w:bookmarkStart w:id="1" w:name="_GoBack"/>
      <w:bookmarkEnd w:id="1"/>
    </w:p>
    <w:p>
      <w:pPr>
        <w:pStyle w:val="2"/>
        <w:rPr>
          <w:rFonts w:eastAsia="宋体"/>
          <w:lang w:eastAsia="zh-CN"/>
        </w:rPr>
      </w:pPr>
      <w:r>
        <w:rPr>
          <w:rFonts w:hint="eastAsia" w:eastAsia="宋体"/>
          <w:lang w:eastAsia="zh-CN"/>
        </w:rPr>
        <w:t>Reference</w:t>
      </w:r>
    </w:p>
    <w:p>
      <w:pPr>
        <w:numPr>
          <w:ilvl w:val="0"/>
          <w:numId w:val="18"/>
        </w:numPr>
        <w:rPr>
          <w:rFonts w:hint="default"/>
          <w:b w:val="0"/>
          <w:bCs w:val="0"/>
          <w:lang w:val="en-US" w:eastAsia="zh-CN"/>
        </w:rPr>
      </w:pPr>
      <w:r>
        <w:rPr>
          <w:rFonts w:hint="eastAsia"/>
          <w:b w:val="0"/>
          <w:bCs w:val="0"/>
          <w:lang w:val="en-US" w:eastAsia="zh-CN"/>
        </w:rPr>
        <w:t>RP-221815 New WID on mobile IAB, Qualcomm.</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Dutch801BT-Roman">
    <w:altName w:val="Segoe Print"/>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C7941BA9"/>
    <w:multiLevelType w:val="singleLevel"/>
    <w:tmpl w:val="C7941BA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0F47ADF2"/>
    <w:multiLevelType w:val="singleLevel"/>
    <w:tmpl w:val="0F47ADF2"/>
    <w:lvl w:ilvl="0" w:tentative="0">
      <w:start w:val="1"/>
      <w:numFmt w:val="bullet"/>
      <w:lvlText w:val=""/>
      <w:lvlJc w:val="left"/>
      <w:pPr>
        <w:ind w:left="420" w:hanging="420"/>
      </w:pPr>
      <w:rPr>
        <w:rFonts w:hint="default" w:ascii="Wingdings" w:hAnsi="Wingdings"/>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155999AD"/>
    <w:multiLevelType w:val="singleLevel"/>
    <w:tmpl w:val="155999AD"/>
    <w:lvl w:ilvl="0" w:tentative="0">
      <w:start w:val="1"/>
      <w:numFmt w:val="decimal"/>
      <w:suff w:val="space"/>
      <w:lvlText w:val="%1)"/>
      <w:lvlJc w:val="left"/>
    </w:lvl>
  </w:abstractNum>
  <w:abstractNum w:abstractNumId="7">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658908B0"/>
    <w:multiLevelType w:val="multilevel"/>
    <w:tmpl w:val="658908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24A7491"/>
    <w:multiLevelType w:val="singleLevel"/>
    <w:tmpl w:val="724A7491"/>
    <w:lvl w:ilvl="0" w:tentative="0">
      <w:start w:val="1"/>
      <w:numFmt w:val="bullet"/>
      <w:lvlText w:val=""/>
      <w:lvlJc w:val="left"/>
      <w:pPr>
        <w:ind w:left="420" w:hanging="420"/>
      </w:pPr>
      <w:rPr>
        <w:rFonts w:hint="default" w:ascii="Wingdings" w:hAnsi="Wingdings"/>
      </w:rPr>
    </w:lvl>
  </w:abstractNum>
  <w:abstractNum w:abstractNumId="17">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9"/>
  </w:num>
  <w:num w:numId="5">
    <w:abstractNumId w:val="17"/>
  </w:num>
  <w:num w:numId="6">
    <w:abstractNumId w:val="14"/>
  </w:num>
  <w:num w:numId="7">
    <w:abstractNumId w:val="11"/>
  </w:num>
  <w:num w:numId="8">
    <w:abstractNumId w:val="15"/>
  </w:num>
  <w:num w:numId="9">
    <w:abstractNumId w:val="8"/>
  </w:num>
  <w:num w:numId="10">
    <w:abstractNumId w:val="7"/>
  </w:num>
  <w:num w:numId="11">
    <w:abstractNumId w:val="3"/>
  </w:num>
  <w:num w:numId="12">
    <w:abstractNumId w:val="10"/>
  </w:num>
  <w:num w:numId="13">
    <w:abstractNumId w:val="13"/>
  </w:num>
  <w:num w:numId="14">
    <w:abstractNumId w:val="4"/>
  </w:num>
  <w:num w:numId="15">
    <w:abstractNumId w:val="16"/>
  </w:num>
  <w:num w:numId="16">
    <w:abstractNumId w:val="1"/>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E2217B"/>
    <w:rsid w:val="02114672"/>
    <w:rsid w:val="023345C4"/>
    <w:rsid w:val="023C6328"/>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A1092"/>
    <w:rsid w:val="045C5F07"/>
    <w:rsid w:val="046C366C"/>
    <w:rsid w:val="046E3B93"/>
    <w:rsid w:val="04A73624"/>
    <w:rsid w:val="04AB5443"/>
    <w:rsid w:val="04AC246B"/>
    <w:rsid w:val="04B43293"/>
    <w:rsid w:val="04D11A7E"/>
    <w:rsid w:val="04D542BE"/>
    <w:rsid w:val="04DB590C"/>
    <w:rsid w:val="04E2571E"/>
    <w:rsid w:val="04EC7690"/>
    <w:rsid w:val="050C6378"/>
    <w:rsid w:val="053D2225"/>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577F7"/>
    <w:rsid w:val="06DB295D"/>
    <w:rsid w:val="07155AB1"/>
    <w:rsid w:val="07341628"/>
    <w:rsid w:val="073902B1"/>
    <w:rsid w:val="073C49D1"/>
    <w:rsid w:val="074E1D2A"/>
    <w:rsid w:val="075375FC"/>
    <w:rsid w:val="07543A2A"/>
    <w:rsid w:val="076726AD"/>
    <w:rsid w:val="079D224E"/>
    <w:rsid w:val="07A476C5"/>
    <w:rsid w:val="07B67E46"/>
    <w:rsid w:val="07BF4227"/>
    <w:rsid w:val="07E14486"/>
    <w:rsid w:val="07E5651E"/>
    <w:rsid w:val="080B6FBF"/>
    <w:rsid w:val="08415F7D"/>
    <w:rsid w:val="087157D7"/>
    <w:rsid w:val="08741EF0"/>
    <w:rsid w:val="08851AB3"/>
    <w:rsid w:val="08885567"/>
    <w:rsid w:val="088870BE"/>
    <w:rsid w:val="08946327"/>
    <w:rsid w:val="08A55570"/>
    <w:rsid w:val="08B71EB0"/>
    <w:rsid w:val="08BF6F4B"/>
    <w:rsid w:val="08C86118"/>
    <w:rsid w:val="08D73FF1"/>
    <w:rsid w:val="08DA0C6D"/>
    <w:rsid w:val="08EE0A8E"/>
    <w:rsid w:val="08F919D2"/>
    <w:rsid w:val="08FB4811"/>
    <w:rsid w:val="08FE14A3"/>
    <w:rsid w:val="08FF2520"/>
    <w:rsid w:val="0905050D"/>
    <w:rsid w:val="09063FA8"/>
    <w:rsid w:val="094729AB"/>
    <w:rsid w:val="096962DD"/>
    <w:rsid w:val="098113B0"/>
    <w:rsid w:val="09B55CF9"/>
    <w:rsid w:val="09E726AB"/>
    <w:rsid w:val="09EB1DD0"/>
    <w:rsid w:val="0A18474D"/>
    <w:rsid w:val="0A1A2468"/>
    <w:rsid w:val="0A274FDE"/>
    <w:rsid w:val="0A285D20"/>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615B67"/>
    <w:rsid w:val="0C641E89"/>
    <w:rsid w:val="0C95396A"/>
    <w:rsid w:val="0C997801"/>
    <w:rsid w:val="0C9D2EE3"/>
    <w:rsid w:val="0CA666B8"/>
    <w:rsid w:val="0CAA584B"/>
    <w:rsid w:val="0CB337AA"/>
    <w:rsid w:val="0CBE103D"/>
    <w:rsid w:val="0CD07B3D"/>
    <w:rsid w:val="0CD72E9F"/>
    <w:rsid w:val="0CE6260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8D5427"/>
    <w:rsid w:val="0EAB644B"/>
    <w:rsid w:val="0EB63C94"/>
    <w:rsid w:val="0EBE4093"/>
    <w:rsid w:val="0EE06119"/>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C718D0"/>
    <w:rsid w:val="10D1157C"/>
    <w:rsid w:val="10FE147E"/>
    <w:rsid w:val="11060CF2"/>
    <w:rsid w:val="11205E74"/>
    <w:rsid w:val="11362BB8"/>
    <w:rsid w:val="1161496B"/>
    <w:rsid w:val="117A5F3A"/>
    <w:rsid w:val="11824E11"/>
    <w:rsid w:val="11C318C3"/>
    <w:rsid w:val="11CF7FCC"/>
    <w:rsid w:val="11E57F60"/>
    <w:rsid w:val="120D3B15"/>
    <w:rsid w:val="12125816"/>
    <w:rsid w:val="12231E5A"/>
    <w:rsid w:val="1230189D"/>
    <w:rsid w:val="1238059C"/>
    <w:rsid w:val="123E4D67"/>
    <w:rsid w:val="12505C6D"/>
    <w:rsid w:val="12523BFE"/>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3017C71"/>
    <w:rsid w:val="13223497"/>
    <w:rsid w:val="13277783"/>
    <w:rsid w:val="13306369"/>
    <w:rsid w:val="136A2834"/>
    <w:rsid w:val="13741025"/>
    <w:rsid w:val="1385132C"/>
    <w:rsid w:val="1398651B"/>
    <w:rsid w:val="139B04DE"/>
    <w:rsid w:val="139B2B8A"/>
    <w:rsid w:val="13B65DAA"/>
    <w:rsid w:val="13CC6F58"/>
    <w:rsid w:val="13CD7DCF"/>
    <w:rsid w:val="13CE48B5"/>
    <w:rsid w:val="141B597C"/>
    <w:rsid w:val="141C4CDF"/>
    <w:rsid w:val="142E1692"/>
    <w:rsid w:val="14402E2D"/>
    <w:rsid w:val="1453355D"/>
    <w:rsid w:val="145B63BC"/>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B4C15"/>
    <w:rsid w:val="169F5244"/>
    <w:rsid w:val="16A15054"/>
    <w:rsid w:val="16A754F3"/>
    <w:rsid w:val="16C26BEA"/>
    <w:rsid w:val="16D33A58"/>
    <w:rsid w:val="16D92CE6"/>
    <w:rsid w:val="16EC19A4"/>
    <w:rsid w:val="16F14FB5"/>
    <w:rsid w:val="16F96F2D"/>
    <w:rsid w:val="17107A07"/>
    <w:rsid w:val="172535D9"/>
    <w:rsid w:val="175D0D6F"/>
    <w:rsid w:val="17741C8F"/>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EE0A47"/>
    <w:rsid w:val="18F302C8"/>
    <w:rsid w:val="190A78EF"/>
    <w:rsid w:val="19120E5E"/>
    <w:rsid w:val="193D7ACD"/>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F33B5"/>
    <w:rsid w:val="1AC43521"/>
    <w:rsid w:val="1AE0535F"/>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51BA1"/>
    <w:rsid w:val="1CF93D88"/>
    <w:rsid w:val="1D0B69AF"/>
    <w:rsid w:val="1D172F4E"/>
    <w:rsid w:val="1D2B3138"/>
    <w:rsid w:val="1D2D4DC0"/>
    <w:rsid w:val="1D5F04A0"/>
    <w:rsid w:val="1D637944"/>
    <w:rsid w:val="1D6C7402"/>
    <w:rsid w:val="1D712BE1"/>
    <w:rsid w:val="1D795630"/>
    <w:rsid w:val="1D96715A"/>
    <w:rsid w:val="1D9A35CF"/>
    <w:rsid w:val="1DA23B8F"/>
    <w:rsid w:val="1DA801A6"/>
    <w:rsid w:val="1DCC4D73"/>
    <w:rsid w:val="1DE551BD"/>
    <w:rsid w:val="1DF2160D"/>
    <w:rsid w:val="1E0169C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6E1899"/>
    <w:rsid w:val="1F724366"/>
    <w:rsid w:val="1F8369FC"/>
    <w:rsid w:val="1F8B2988"/>
    <w:rsid w:val="1F9C0A4F"/>
    <w:rsid w:val="1FB26B0F"/>
    <w:rsid w:val="1FC13A12"/>
    <w:rsid w:val="1FE00BB9"/>
    <w:rsid w:val="1FF546DE"/>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B27CC3"/>
    <w:rsid w:val="21C61AB6"/>
    <w:rsid w:val="21CE6894"/>
    <w:rsid w:val="21D25E8A"/>
    <w:rsid w:val="21D66EB2"/>
    <w:rsid w:val="21D677FD"/>
    <w:rsid w:val="21E359B2"/>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5062C18"/>
    <w:rsid w:val="251263F2"/>
    <w:rsid w:val="253D5605"/>
    <w:rsid w:val="2551345D"/>
    <w:rsid w:val="25517903"/>
    <w:rsid w:val="256E5CB4"/>
    <w:rsid w:val="25857B5F"/>
    <w:rsid w:val="25863BAA"/>
    <w:rsid w:val="259017DC"/>
    <w:rsid w:val="25917816"/>
    <w:rsid w:val="25AC7098"/>
    <w:rsid w:val="25B04816"/>
    <w:rsid w:val="25C05E82"/>
    <w:rsid w:val="25CD18C3"/>
    <w:rsid w:val="25F534FD"/>
    <w:rsid w:val="260A4861"/>
    <w:rsid w:val="261661B4"/>
    <w:rsid w:val="261848CD"/>
    <w:rsid w:val="26192DC3"/>
    <w:rsid w:val="261A1D2F"/>
    <w:rsid w:val="261A71A2"/>
    <w:rsid w:val="262E2E8D"/>
    <w:rsid w:val="26380911"/>
    <w:rsid w:val="264A72BC"/>
    <w:rsid w:val="2652203C"/>
    <w:rsid w:val="2669016B"/>
    <w:rsid w:val="267366B5"/>
    <w:rsid w:val="26CC4EED"/>
    <w:rsid w:val="26DD3E44"/>
    <w:rsid w:val="26DD5ADB"/>
    <w:rsid w:val="26ED06D9"/>
    <w:rsid w:val="270636C6"/>
    <w:rsid w:val="27171992"/>
    <w:rsid w:val="27175BED"/>
    <w:rsid w:val="27203B3F"/>
    <w:rsid w:val="272A5204"/>
    <w:rsid w:val="273534DB"/>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66022"/>
    <w:rsid w:val="28797C07"/>
    <w:rsid w:val="287F2E5D"/>
    <w:rsid w:val="288A2377"/>
    <w:rsid w:val="28986FCD"/>
    <w:rsid w:val="289D1C1E"/>
    <w:rsid w:val="289D4FD5"/>
    <w:rsid w:val="28C15C69"/>
    <w:rsid w:val="28CA16BA"/>
    <w:rsid w:val="28CC2A1C"/>
    <w:rsid w:val="28E61D23"/>
    <w:rsid w:val="28E6276B"/>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F4C0F"/>
    <w:rsid w:val="2A1E00C4"/>
    <w:rsid w:val="2A266B79"/>
    <w:rsid w:val="2A2B4636"/>
    <w:rsid w:val="2A406D3A"/>
    <w:rsid w:val="2A4D69DE"/>
    <w:rsid w:val="2A516190"/>
    <w:rsid w:val="2A5C6207"/>
    <w:rsid w:val="2A7E3ECA"/>
    <w:rsid w:val="2A944304"/>
    <w:rsid w:val="2A9643ED"/>
    <w:rsid w:val="2AAB07E2"/>
    <w:rsid w:val="2ACD1432"/>
    <w:rsid w:val="2ACD5A66"/>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EF1368"/>
    <w:rsid w:val="2D003307"/>
    <w:rsid w:val="2D0C15E0"/>
    <w:rsid w:val="2D1E4FBA"/>
    <w:rsid w:val="2D2140D4"/>
    <w:rsid w:val="2D2855DC"/>
    <w:rsid w:val="2D4D471C"/>
    <w:rsid w:val="2D4F527C"/>
    <w:rsid w:val="2DA17515"/>
    <w:rsid w:val="2DE865BD"/>
    <w:rsid w:val="2DFB1A06"/>
    <w:rsid w:val="2E092C11"/>
    <w:rsid w:val="2E1F0139"/>
    <w:rsid w:val="2E330E8B"/>
    <w:rsid w:val="2E3527A8"/>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54BFF"/>
    <w:rsid w:val="2F3E7511"/>
    <w:rsid w:val="2F4F4827"/>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6745CA"/>
    <w:rsid w:val="316E7DD8"/>
    <w:rsid w:val="31704E96"/>
    <w:rsid w:val="31953D90"/>
    <w:rsid w:val="319C693A"/>
    <w:rsid w:val="31B7641F"/>
    <w:rsid w:val="31CB7D83"/>
    <w:rsid w:val="31D637B7"/>
    <w:rsid w:val="32064957"/>
    <w:rsid w:val="320E5BE8"/>
    <w:rsid w:val="323D3B2C"/>
    <w:rsid w:val="323F0974"/>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5E7EFB"/>
    <w:rsid w:val="3564453E"/>
    <w:rsid w:val="357657F6"/>
    <w:rsid w:val="3588342E"/>
    <w:rsid w:val="359202BF"/>
    <w:rsid w:val="35A20CDB"/>
    <w:rsid w:val="35BA098C"/>
    <w:rsid w:val="35CB4149"/>
    <w:rsid w:val="35CF7FA2"/>
    <w:rsid w:val="35E426C4"/>
    <w:rsid w:val="35EC0EA5"/>
    <w:rsid w:val="362122CF"/>
    <w:rsid w:val="36330800"/>
    <w:rsid w:val="36467525"/>
    <w:rsid w:val="365518A9"/>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603005"/>
    <w:rsid w:val="37676D78"/>
    <w:rsid w:val="376A0A29"/>
    <w:rsid w:val="377A5D06"/>
    <w:rsid w:val="378C2A4E"/>
    <w:rsid w:val="378F4306"/>
    <w:rsid w:val="379106EB"/>
    <w:rsid w:val="37950791"/>
    <w:rsid w:val="37B62A54"/>
    <w:rsid w:val="37C01803"/>
    <w:rsid w:val="37C9583D"/>
    <w:rsid w:val="37DF18DD"/>
    <w:rsid w:val="3819469A"/>
    <w:rsid w:val="38213155"/>
    <w:rsid w:val="382D6266"/>
    <w:rsid w:val="383D51B0"/>
    <w:rsid w:val="38436373"/>
    <w:rsid w:val="384E5140"/>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E0B99"/>
    <w:rsid w:val="39E6596C"/>
    <w:rsid w:val="3A1E2F44"/>
    <w:rsid w:val="3A2E38F2"/>
    <w:rsid w:val="3A320C69"/>
    <w:rsid w:val="3A38627D"/>
    <w:rsid w:val="3A397D3B"/>
    <w:rsid w:val="3A3F482E"/>
    <w:rsid w:val="3A456D61"/>
    <w:rsid w:val="3A6029F6"/>
    <w:rsid w:val="3A802A65"/>
    <w:rsid w:val="3A8B1BB3"/>
    <w:rsid w:val="3A8E5147"/>
    <w:rsid w:val="3AA15361"/>
    <w:rsid w:val="3AA84305"/>
    <w:rsid w:val="3AB15864"/>
    <w:rsid w:val="3AB5351D"/>
    <w:rsid w:val="3AC0379E"/>
    <w:rsid w:val="3AE65525"/>
    <w:rsid w:val="3B011CF4"/>
    <w:rsid w:val="3B0479B7"/>
    <w:rsid w:val="3B247E7A"/>
    <w:rsid w:val="3B3301EA"/>
    <w:rsid w:val="3B6564B7"/>
    <w:rsid w:val="3B6A3A42"/>
    <w:rsid w:val="3B6F700F"/>
    <w:rsid w:val="3B7B164F"/>
    <w:rsid w:val="3B943330"/>
    <w:rsid w:val="3BB53769"/>
    <w:rsid w:val="3BB80A6D"/>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932306"/>
    <w:rsid w:val="3FA02231"/>
    <w:rsid w:val="3FA776F6"/>
    <w:rsid w:val="3FB0303B"/>
    <w:rsid w:val="3FD01BA7"/>
    <w:rsid w:val="3FE37651"/>
    <w:rsid w:val="400C785D"/>
    <w:rsid w:val="40130EAF"/>
    <w:rsid w:val="40216DA7"/>
    <w:rsid w:val="40237876"/>
    <w:rsid w:val="40274C59"/>
    <w:rsid w:val="403C2E31"/>
    <w:rsid w:val="40616B63"/>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455FAC"/>
    <w:rsid w:val="4448573B"/>
    <w:rsid w:val="44537B36"/>
    <w:rsid w:val="4455753D"/>
    <w:rsid w:val="4491669D"/>
    <w:rsid w:val="449A545B"/>
    <w:rsid w:val="44C656F4"/>
    <w:rsid w:val="44CF4A8C"/>
    <w:rsid w:val="44E05510"/>
    <w:rsid w:val="44E55506"/>
    <w:rsid w:val="44FE780D"/>
    <w:rsid w:val="45013292"/>
    <w:rsid w:val="45136F73"/>
    <w:rsid w:val="451F6997"/>
    <w:rsid w:val="45275D3C"/>
    <w:rsid w:val="45303BF9"/>
    <w:rsid w:val="454D5F23"/>
    <w:rsid w:val="456A18DF"/>
    <w:rsid w:val="45797DE3"/>
    <w:rsid w:val="457A238E"/>
    <w:rsid w:val="45992E38"/>
    <w:rsid w:val="45A72707"/>
    <w:rsid w:val="45BB3E85"/>
    <w:rsid w:val="45FB33E9"/>
    <w:rsid w:val="4600581C"/>
    <w:rsid w:val="4616701D"/>
    <w:rsid w:val="46186D0F"/>
    <w:rsid w:val="461E6866"/>
    <w:rsid w:val="46202F36"/>
    <w:rsid w:val="463D225F"/>
    <w:rsid w:val="46507F2F"/>
    <w:rsid w:val="4661363F"/>
    <w:rsid w:val="46625D50"/>
    <w:rsid w:val="46741BEE"/>
    <w:rsid w:val="46761D02"/>
    <w:rsid w:val="46774958"/>
    <w:rsid w:val="469C7DFF"/>
    <w:rsid w:val="46A40849"/>
    <w:rsid w:val="46A72A98"/>
    <w:rsid w:val="46C1358E"/>
    <w:rsid w:val="46C2390C"/>
    <w:rsid w:val="46CB5241"/>
    <w:rsid w:val="46D21853"/>
    <w:rsid w:val="46E96B79"/>
    <w:rsid w:val="46EA0145"/>
    <w:rsid w:val="47022B62"/>
    <w:rsid w:val="471039C2"/>
    <w:rsid w:val="472C799C"/>
    <w:rsid w:val="473A324F"/>
    <w:rsid w:val="4743147C"/>
    <w:rsid w:val="4750010D"/>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82F5B"/>
    <w:rsid w:val="49244CE0"/>
    <w:rsid w:val="49382013"/>
    <w:rsid w:val="49590A49"/>
    <w:rsid w:val="49616839"/>
    <w:rsid w:val="497C1D1C"/>
    <w:rsid w:val="49831F08"/>
    <w:rsid w:val="499E4E6A"/>
    <w:rsid w:val="49B52D72"/>
    <w:rsid w:val="49E11940"/>
    <w:rsid w:val="4A052754"/>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53503"/>
    <w:rsid w:val="4ADD31A5"/>
    <w:rsid w:val="4B0410B8"/>
    <w:rsid w:val="4B153064"/>
    <w:rsid w:val="4B177E18"/>
    <w:rsid w:val="4B535B0F"/>
    <w:rsid w:val="4B5D208D"/>
    <w:rsid w:val="4B682317"/>
    <w:rsid w:val="4B8A6B9F"/>
    <w:rsid w:val="4B9C4953"/>
    <w:rsid w:val="4BA243F4"/>
    <w:rsid w:val="4BA46A33"/>
    <w:rsid w:val="4BA826B0"/>
    <w:rsid w:val="4BBC45CC"/>
    <w:rsid w:val="4BCF18DD"/>
    <w:rsid w:val="4BD30724"/>
    <w:rsid w:val="4BDB01A8"/>
    <w:rsid w:val="4BE26C7A"/>
    <w:rsid w:val="4BE51286"/>
    <w:rsid w:val="4BE5563D"/>
    <w:rsid w:val="4C0E44B1"/>
    <w:rsid w:val="4C0F4381"/>
    <w:rsid w:val="4C18788C"/>
    <w:rsid w:val="4C402D01"/>
    <w:rsid w:val="4C4A48E7"/>
    <w:rsid w:val="4C5A5942"/>
    <w:rsid w:val="4C606FBF"/>
    <w:rsid w:val="4C667F32"/>
    <w:rsid w:val="4C6B0BD5"/>
    <w:rsid w:val="4C784838"/>
    <w:rsid w:val="4C84568C"/>
    <w:rsid w:val="4C911064"/>
    <w:rsid w:val="4CB82F69"/>
    <w:rsid w:val="4CC1407D"/>
    <w:rsid w:val="4CC17D94"/>
    <w:rsid w:val="4CD56CAE"/>
    <w:rsid w:val="4CDC1CDE"/>
    <w:rsid w:val="4CDE566C"/>
    <w:rsid w:val="4CE567E9"/>
    <w:rsid w:val="4D05508A"/>
    <w:rsid w:val="4D254D1C"/>
    <w:rsid w:val="4D4131B8"/>
    <w:rsid w:val="4D4C1706"/>
    <w:rsid w:val="4D566FBA"/>
    <w:rsid w:val="4D6448FC"/>
    <w:rsid w:val="4D9A7380"/>
    <w:rsid w:val="4D9C3A4E"/>
    <w:rsid w:val="4DB037B9"/>
    <w:rsid w:val="4DB32380"/>
    <w:rsid w:val="4DB6032F"/>
    <w:rsid w:val="4DB85906"/>
    <w:rsid w:val="4DDB705E"/>
    <w:rsid w:val="4DE11B68"/>
    <w:rsid w:val="4DF91A48"/>
    <w:rsid w:val="4E034CF2"/>
    <w:rsid w:val="4E083D60"/>
    <w:rsid w:val="4E0A5BBD"/>
    <w:rsid w:val="4E2C4265"/>
    <w:rsid w:val="4E434E98"/>
    <w:rsid w:val="4E4E075D"/>
    <w:rsid w:val="4E573192"/>
    <w:rsid w:val="4E642EFE"/>
    <w:rsid w:val="4E694667"/>
    <w:rsid w:val="4E80340E"/>
    <w:rsid w:val="4E835393"/>
    <w:rsid w:val="4EB24795"/>
    <w:rsid w:val="4EC31C07"/>
    <w:rsid w:val="4ECE580B"/>
    <w:rsid w:val="4ED504C2"/>
    <w:rsid w:val="4EF26455"/>
    <w:rsid w:val="4F02252E"/>
    <w:rsid w:val="4F0F56E7"/>
    <w:rsid w:val="4F27708F"/>
    <w:rsid w:val="4F2F6D25"/>
    <w:rsid w:val="4F33454E"/>
    <w:rsid w:val="4F4218AA"/>
    <w:rsid w:val="4F524A77"/>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732223"/>
    <w:rsid w:val="51940ED6"/>
    <w:rsid w:val="51986034"/>
    <w:rsid w:val="519F7F23"/>
    <w:rsid w:val="51A23103"/>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757666"/>
    <w:rsid w:val="53825209"/>
    <w:rsid w:val="538C2035"/>
    <w:rsid w:val="538C7108"/>
    <w:rsid w:val="53915F03"/>
    <w:rsid w:val="53942FA7"/>
    <w:rsid w:val="53B96635"/>
    <w:rsid w:val="53BE786F"/>
    <w:rsid w:val="53BF26EC"/>
    <w:rsid w:val="53CC42CB"/>
    <w:rsid w:val="53E2493B"/>
    <w:rsid w:val="53EF5526"/>
    <w:rsid w:val="540E7262"/>
    <w:rsid w:val="541240F2"/>
    <w:rsid w:val="54154ACC"/>
    <w:rsid w:val="542F6A1E"/>
    <w:rsid w:val="54676039"/>
    <w:rsid w:val="54757578"/>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706303"/>
    <w:rsid w:val="569E4229"/>
    <w:rsid w:val="569E4306"/>
    <w:rsid w:val="56B77FA2"/>
    <w:rsid w:val="56BA1AF9"/>
    <w:rsid w:val="56D10A63"/>
    <w:rsid w:val="56D836CE"/>
    <w:rsid w:val="56E240FA"/>
    <w:rsid w:val="56E71201"/>
    <w:rsid w:val="570123C5"/>
    <w:rsid w:val="5706325C"/>
    <w:rsid w:val="57280976"/>
    <w:rsid w:val="57354289"/>
    <w:rsid w:val="574552E5"/>
    <w:rsid w:val="57573734"/>
    <w:rsid w:val="576F1DFA"/>
    <w:rsid w:val="5779730A"/>
    <w:rsid w:val="57830F48"/>
    <w:rsid w:val="57A84579"/>
    <w:rsid w:val="57BC1829"/>
    <w:rsid w:val="57C063CC"/>
    <w:rsid w:val="57C628EA"/>
    <w:rsid w:val="57F20D8F"/>
    <w:rsid w:val="580223A6"/>
    <w:rsid w:val="581113AC"/>
    <w:rsid w:val="581772FA"/>
    <w:rsid w:val="58194C0A"/>
    <w:rsid w:val="582F6754"/>
    <w:rsid w:val="5832401F"/>
    <w:rsid w:val="5834125E"/>
    <w:rsid w:val="58381AE2"/>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D39E0"/>
    <w:rsid w:val="59636E6A"/>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E31074"/>
    <w:rsid w:val="5FFB56B8"/>
    <w:rsid w:val="6008237F"/>
    <w:rsid w:val="60170036"/>
    <w:rsid w:val="601E6A9C"/>
    <w:rsid w:val="60216627"/>
    <w:rsid w:val="60330A86"/>
    <w:rsid w:val="60422019"/>
    <w:rsid w:val="60492A6C"/>
    <w:rsid w:val="60605DD2"/>
    <w:rsid w:val="607708A5"/>
    <w:rsid w:val="607C4EFB"/>
    <w:rsid w:val="60880328"/>
    <w:rsid w:val="60951F22"/>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717EB6"/>
    <w:rsid w:val="647D0B18"/>
    <w:rsid w:val="648D3B58"/>
    <w:rsid w:val="64AD7D2A"/>
    <w:rsid w:val="64C91F02"/>
    <w:rsid w:val="64CE6F46"/>
    <w:rsid w:val="64D23AE4"/>
    <w:rsid w:val="64D9575E"/>
    <w:rsid w:val="64DE180C"/>
    <w:rsid w:val="64E82C1E"/>
    <w:rsid w:val="64EE6C4C"/>
    <w:rsid w:val="64F222DB"/>
    <w:rsid w:val="650D5A50"/>
    <w:rsid w:val="65502950"/>
    <w:rsid w:val="6551495B"/>
    <w:rsid w:val="655B7A5A"/>
    <w:rsid w:val="655F405B"/>
    <w:rsid w:val="656958A2"/>
    <w:rsid w:val="656A4BC3"/>
    <w:rsid w:val="657C41E0"/>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DA0D87"/>
    <w:rsid w:val="66F7213E"/>
    <w:rsid w:val="67122717"/>
    <w:rsid w:val="671B55F3"/>
    <w:rsid w:val="67377B90"/>
    <w:rsid w:val="674B4D84"/>
    <w:rsid w:val="674C5C33"/>
    <w:rsid w:val="67595E9D"/>
    <w:rsid w:val="67631C65"/>
    <w:rsid w:val="677030AE"/>
    <w:rsid w:val="67794C4A"/>
    <w:rsid w:val="677D655F"/>
    <w:rsid w:val="677E499B"/>
    <w:rsid w:val="67890D24"/>
    <w:rsid w:val="67A15BDF"/>
    <w:rsid w:val="67B64D1C"/>
    <w:rsid w:val="67D81C7A"/>
    <w:rsid w:val="67DE3246"/>
    <w:rsid w:val="67F13ECC"/>
    <w:rsid w:val="682656AF"/>
    <w:rsid w:val="68330922"/>
    <w:rsid w:val="683445B5"/>
    <w:rsid w:val="683F3307"/>
    <w:rsid w:val="68547DBB"/>
    <w:rsid w:val="68902745"/>
    <w:rsid w:val="689C0D35"/>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3B78"/>
    <w:rsid w:val="6B67033C"/>
    <w:rsid w:val="6B6D7359"/>
    <w:rsid w:val="6B804033"/>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A5F15"/>
    <w:rsid w:val="6D2B77DD"/>
    <w:rsid w:val="6D4E13AA"/>
    <w:rsid w:val="6D632E83"/>
    <w:rsid w:val="6D857773"/>
    <w:rsid w:val="6D863E1E"/>
    <w:rsid w:val="6D920F04"/>
    <w:rsid w:val="6D952DE8"/>
    <w:rsid w:val="6DCD3EA1"/>
    <w:rsid w:val="6DFD3324"/>
    <w:rsid w:val="6E0716DA"/>
    <w:rsid w:val="6E0C31F2"/>
    <w:rsid w:val="6E171560"/>
    <w:rsid w:val="6E327996"/>
    <w:rsid w:val="6E38673F"/>
    <w:rsid w:val="6E4736A6"/>
    <w:rsid w:val="6E534CA8"/>
    <w:rsid w:val="6E5E2983"/>
    <w:rsid w:val="6E6B1A31"/>
    <w:rsid w:val="6E787BC7"/>
    <w:rsid w:val="6E85329E"/>
    <w:rsid w:val="6EA64ED0"/>
    <w:rsid w:val="6EB776F8"/>
    <w:rsid w:val="6ECA7864"/>
    <w:rsid w:val="6EEA0A26"/>
    <w:rsid w:val="6EEA0C1E"/>
    <w:rsid w:val="6F0452DC"/>
    <w:rsid w:val="6F0D2D39"/>
    <w:rsid w:val="6F120BBA"/>
    <w:rsid w:val="6F1E595C"/>
    <w:rsid w:val="6F2A192E"/>
    <w:rsid w:val="6F2F00C9"/>
    <w:rsid w:val="6F350FA7"/>
    <w:rsid w:val="6F427B7D"/>
    <w:rsid w:val="6F45521B"/>
    <w:rsid w:val="6F5B4EAD"/>
    <w:rsid w:val="6F6E6F1B"/>
    <w:rsid w:val="6F7B2DDB"/>
    <w:rsid w:val="6F9D6454"/>
    <w:rsid w:val="6FA80267"/>
    <w:rsid w:val="6FB47A2A"/>
    <w:rsid w:val="6FE677C4"/>
    <w:rsid w:val="6FF90640"/>
    <w:rsid w:val="700B635E"/>
    <w:rsid w:val="701028EF"/>
    <w:rsid w:val="70313984"/>
    <w:rsid w:val="703C5BFF"/>
    <w:rsid w:val="704845F6"/>
    <w:rsid w:val="70491A7E"/>
    <w:rsid w:val="705A661E"/>
    <w:rsid w:val="707816D8"/>
    <w:rsid w:val="707A150A"/>
    <w:rsid w:val="707A6422"/>
    <w:rsid w:val="70841631"/>
    <w:rsid w:val="70866D1E"/>
    <w:rsid w:val="708D1F8A"/>
    <w:rsid w:val="708D6E23"/>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E15F5"/>
    <w:rsid w:val="71553C77"/>
    <w:rsid w:val="7161653D"/>
    <w:rsid w:val="716972DE"/>
    <w:rsid w:val="71721BB8"/>
    <w:rsid w:val="71793D84"/>
    <w:rsid w:val="719B1ED5"/>
    <w:rsid w:val="719E370E"/>
    <w:rsid w:val="71AD57F8"/>
    <w:rsid w:val="71C44C9F"/>
    <w:rsid w:val="720040E9"/>
    <w:rsid w:val="720B6DA8"/>
    <w:rsid w:val="721F3D0A"/>
    <w:rsid w:val="72310BD0"/>
    <w:rsid w:val="7258546A"/>
    <w:rsid w:val="725D40AA"/>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63F17"/>
    <w:rsid w:val="741E74B0"/>
    <w:rsid w:val="742B67A6"/>
    <w:rsid w:val="74555490"/>
    <w:rsid w:val="74657DBE"/>
    <w:rsid w:val="746F25E1"/>
    <w:rsid w:val="747B2A7C"/>
    <w:rsid w:val="748A0171"/>
    <w:rsid w:val="74CB0736"/>
    <w:rsid w:val="74D80A7B"/>
    <w:rsid w:val="74DC5A0C"/>
    <w:rsid w:val="75011067"/>
    <w:rsid w:val="7519325A"/>
    <w:rsid w:val="752503A2"/>
    <w:rsid w:val="753211D3"/>
    <w:rsid w:val="75366CA0"/>
    <w:rsid w:val="753B7279"/>
    <w:rsid w:val="75517DF4"/>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33466E"/>
    <w:rsid w:val="773973CB"/>
    <w:rsid w:val="77462083"/>
    <w:rsid w:val="77481705"/>
    <w:rsid w:val="777064E3"/>
    <w:rsid w:val="777672BB"/>
    <w:rsid w:val="77A16874"/>
    <w:rsid w:val="77B135B8"/>
    <w:rsid w:val="77B165CE"/>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D418C"/>
    <w:rsid w:val="78E2205D"/>
    <w:rsid w:val="78F22EF3"/>
    <w:rsid w:val="78FC38E3"/>
    <w:rsid w:val="78FE6E57"/>
    <w:rsid w:val="790C1C25"/>
    <w:rsid w:val="791D092D"/>
    <w:rsid w:val="79207F11"/>
    <w:rsid w:val="792C247A"/>
    <w:rsid w:val="792C7B78"/>
    <w:rsid w:val="79322155"/>
    <w:rsid w:val="793F0FFD"/>
    <w:rsid w:val="795C4945"/>
    <w:rsid w:val="7978297F"/>
    <w:rsid w:val="798B055F"/>
    <w:rsid w:val="79D7610C"/>
    <w:rsid w:val="79E7444C"/>
    <w:rsid w:val="79EC0022"/>
    <w:rsid w:val="79FB0A62"/>
    <w:rsid w:val="7A061B69"/>
    <w:rsid w:val="7A0C2A78"/>
    <w:rsid w:val="7A3855A5"/>
    <w:rsid w:val="7A486959"/>
    <w:rsid w:val="7A49720A"/>
    <w:rsid w:val="7A4C4464"/>
    <w:rsid w:val="7A500206"/>
    <w:rsid w:val="7A6454D2"/>
    <w:rsid w:val="7A702817"/>
    <w:rsid w:val="7A8242B4"/>
    <w:rsid w:val="7A845059"/>
    <w:rsid w:val="7A8C4073"/>
    <w:rsid w:val="7A8E17E8"/>
    <w:rsid w:val="7ABF63A4"/>
    <w:rsid w:val="7AC717FB"/>
    <w:rsid w:val="7AC828EE"/>
    <w:rsid w:val="7ACC0DB4"/>
    <w:rsid w:val="7AE34F25"/>
    <w:rsid w:val="7AE5007E"/>
    <w:rsid w:val="7AF924FE"/>
    <w:rsid w:val="7B160CC1"/>
    <w:rsid w:val="7B24414F"/>
    <w:rsid w:val="7B250237"/>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412E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link w:val="144"/>
    <w:uiPriority w:val="0"/>
    <w:pPr>
      <w:ind w:left="704" w:hanging="420"/>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uiPriority w:val="0"/>
    <w:pPr>
      <w:keepLines/>
      <w:spacing w:after="0"/>
      <w:ind w:left="454" w:hanging="454"/>
    </w:pPr>
    <w:rPr>
      <w:sz w:val="16"/>
    </w:rPr>
  </w:style>
  <w:style w:type="paragraph" w:styleId="35">
    <w:name w:val="List 5"/>
    <w:basedOn w:val="36"/>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uiPriority w:val="0"/>
    <w:rPr>
      <w:color w:val="0000FF"/>
      <w:u w:val="single"/>
    </w:rPr>
  </w:style>
  <w:style w:type="character" w:styleId="52">
    <w:name w:val="annotation reference"/>
    <w:uiPriority w:val="0"/>
    <w:rPr>
      <w:sz w:val="16"/>
    </w:rPr>
  </w:style>
  <w:style w:type="character" w:styleId="53">
    <w:name w:val="footnote reference"/>
    <w:semiHidden/>
    <w:uiPriority w:val="0"/>
    <w:rPr>
      <w:b/>
      <w:position w:val="6"/>
      <w:sz w:val="16"/>
    </w:rPr>
  </w:style>
  <w:style w:type="paragraph" w:customStyle="1" w:styleId="54">
    <w:name w:val="插图题注"/>
    <w:basedOn w:val="1"/>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uiPriority w:val="0"/>
    <w:pPr>
      <w:widowControl w:val="0"/>
      <w:spacing w:after="0"/>
      <w:jc w:val="both"/>
    </w:pPr>
    <w:rPr>
      <w:rFonts w:ascii="Arial" w:hAnsi="Arial" w:cs="Arial"/>
      <w:kern w:val="2"/>
      <w:sz w:val="21"/>
      <w:szCs w:val="24"/>
      <w:lang w:val="en-US" w:eastAsia="zh-CN"/>
    </w:rPr>
  </w:style>
  <w:style w:type="paragraph" w:customStyle="1" w:styleId="5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uiPriority w:val="0"/>
    <w:rPr>
      <w:rFonts w:ascii="Arial" w:hAnsi="Arial" w:eastAsia="宋体" w:cs="Times New Roman"/>
      <w:sz w:val="24"/>
      <w:lang w:val="en-GB" w:eastAsia="en-US" w:bidi="ar-SA"/>
    </w:rPr>
  </w:style>
  <w:style w:type="paragraph" w:customStyle="1" w:styleId="6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uiPriority w:val="0"/>
    <w:pPr>
      <w:widowControl w:val="0"/>
      <w:spacing w:after="0"/>
      <w:jc w:val="both"/>
    </w:pPr>
    <w:rPr>
      <w:rFonts w:eastAsia="Times New Roman"/>
      <w:kern w:val="2"/>
      <w:lang w:eastAsia="zh-CN"/>
    </w:rPr>
  </w:style>
  <w:style w:type="paragraph" w:customStyle="1" w:styleId="69">
    <w:name w:val="Char Char1 Char Char Char Char"/>
    <w:semiHidden/>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uiPriority w:val="0"/>
    <w:pPr>
      <w:spacing w:after="0"/>
    </w:pPr>
  </w:style>
  <w:style w:type="paragraph" w:customStyle="1" w:styleId="72">
    <w:name w:val="Normal + Arial"/>
    <w:basedOn w:val="1"/>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uiPriority w:val="0"/>
    <w:rPr>
      <w:color w:val="FF0000"/>
    </w:rPr>
  </w:style>
  <w:style w:type="paragraph" w:customStyle="1" w:styleId="74">
    <w:name w:val="TAL"/>
    <w:basedOn w:val="1"/>
    <w:link w:val="159"/>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uiPriority w:val="0"/>
  </w:style>
  <w:style w:type="paragraph" w:customStyle="1" w:styleId="77">
    <w:name w:val="B7"/>
    <w:basedOn w:val="75"/>
    <w:qFormat/>
    <w:uiPriority w:val="0"/>
    <w:pPr>
      <w:ind w:left="2269"/>
    </w:pPr>
  </w:style>
  <w:style w:type="paragraph" w:customStyle="1" w:styleId="78">
    <w:name w:val="TAR"/>
    <w:basedOn w:val="74"/>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uiPriority w:val="0"/>
    <w:pPr>
      <w:framePr w:hRule="auto" w:y="852"/>
    </w:pPr>
    <w:rPr>
      <w:i w:val="0"/>
      <w:sz w:val="40"/>
    </w:rPr>
  </w:style>
  <w:style w:type="paragraph" w:customStyle="1" w:styleId="84">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uiPriority w:val="0"/>
    <w:pPr>
      <w:spacing w:after="0"/>
    </w:pPr>
  </w:style>
  <w:style w:type="paragraph" w:customStyle="1" w:styleId="86">
    <w:name w:val="references"/>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uiPriority w:val="0"/>
    <w:pPr>
      <w:ind w:left="851" w:hanging="851"/>
    </w:p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uiPriority w:val="0"/>
  </w:style>
  <w:style w:type="paragraph" w:customStyle="1" w:styleId="96">
    <w:name w:val="Agreement"/>
    <w:basedOn w:val="1"/>
    <w:next w:val="1"/>
    <w:qFormat/>
    <w:uiPriority w:val="0"/>
    <w:pPr>
      <w:numPr>
        <w:ilvl w:val="0"/>
        <w:numId w:val="8"/>
      </w:numPr>
      <w:spacing w:before="60"/>
    </w:pPr>
    <w:rPr>
      <w:b/>
    </w:rPr>
  </w:style>
  <w:style w:type="paragraph" w:customStyle="1" w:styleId="97">
    <w:name w:val="编号2"/>
    <w:basedOn w:val="1"/>
    <w:uiPriority w:val="0"/>
    <w:pPr>
      <w:numPr>
        <w:ilvl w:val="0"/>
        <w:numId w:val="9"/>
      </w:numPr>
      <w:tabs>
        <w:tab w:val="left" w:pos="704"/>
        <w:tab w:val="clear" w:pos="840"/>
      </w:tabs>
      <w:ind w:left="704" w:hanging="420"/>
    </w:pPr>
    <w:rPr>
      <w:lang w:eastAsia="zh-CN"/>
    </w:rPr>
  </w:style>
  <w:style w:type="paragraph" w:customStyle="1" w:styleId="98">
    <w:name w:val="00 BodyText"/>
    <w:basedOn w:val="1"/>
    <w:uiPriority w:val="0"/>
    <w:pPr>
      <w:spacing w:after="220"/>
    </w:pPr>
    <w:rPr>
      <w:rFonts w:ascii="Arial" w:hAnsi="Arial"/>
      <w:sz w:val="22"/>
      <w:lang w:val="en-US"/>
    </w:rPr>
  </w:style>
  <w:style w:type="paragraph" w:customStyle="1" w:styleId="99">
    <w:name w:val="TH"/>
    <w:basedOn w:val="1"/>
    <w:link w:val="152"/>
    <w:uiPriority w:val="0"/>
    <w:pPr>
      <w:keepNext/>
      <w:keepLines/>
      <w:spacing w:before="60"/>
      <w:jc w:val="center"/>
    </w:pPr>
    <w:rPr>
      <w:rFonts w:ascii="Arial" w:hAnsi="Arial"/>
      <w:b/>
    </w:rPr>
  </w:style>
  <w:style w:type="paragraph" w:customStyle="1" w:styleId="100">
    <w:name w:val="FP"/>
    <w:basedOn w:val="1"/>
    <w:uiPriority w:val="0"/>
    <w:pPr>
      <w:spacing w:after="0"/>
    </w:pPr>
  </w:style>
  <w:style w:type="paragraph" w:customStyle="1" w:styleId="101">
    <w:name w:val="ZV"/>
    <w:basedOn w:val="93"/>
    <w:uiPriority w:val="0"/>
    <w:pPr>
      <w:framePr w:y="16161"/>
    </w:pPr>
  </w:style>
  <w:style w:type="paragraph" w:customStyle="1" w:styleId="102">
    <w:name w:val="B4"/>
    <w:basedOn w:val="36"/>
    <w:link w:val="135"/>
    <w:qFormat/>
    <w:uiPriority w:val="0"/>
  </w:style>
  <w:style w:type="paragraph" w:customStyle="1" w:styleId="103">
    <w:name w:val="NF"/>
    <w:basedOn w:val="65"/>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uiPriority w:val="0"/>
    <w:pPr>
      <w:jc w:val="center"/>
    </w:pPr>
  </w:style>
  <w:style w:type="paragraph" w:customStyle="1" w:styleId="108">
    <w:name w:val="样式1"/>
    <w:basedOn w:val="1"/>
    <w:uiPriority w:val="0"/>
  </w:style>
  <w:style w:type="paragraph" w:customStyle="1" w:styleId="109">
    <w:name w:val="EQ"/>
    <w:basedOn w:val="1"/>
    <w:next w:val="1"/>
    <w:uiPriority w:val="0"/>
    <w:pPr>
      <w:keepLines/>
      <w:tabs>
        <w:tab w:val="center" w:pos="4536"/>
        <w:tab w:val="right" w:pos="9072"/>
      </w:tabs>
    </w:pPr>
  </w:style>
  <w:style w:type="paragraph" w:customStyle="1" w:styleId="110">
    <w:name w:val="memo header"/>
    <w:basedOn w:val="1"/>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uiPriority w:val="0"/>
    <w:pPr>
      <w:spacing w:after="160" w:line="240" w:lineRule="exact"/>
    </w:pPr>
    <w:rPr>
      <w:rFonts w:ascii="Arial" w:hAnsi="Arial" w:cs="Arial"/>
      <w:color w:val="0000FF"/>
      <w:kern w:val="2"/>
      <w:lang w:val="en-US" w:eastAsia="zh-CN"/>
    </w:rPr>
  </w:style>
  <w:style w:type="paragraph" w:customStyle="1" w:styleId="125">
    <w:name w:val="LD"/>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uiPriority w:val="0"/>
    <w:rPr>
      <w:rFonts w:ascii="Arial" w:hAnsi="Arial"/>
      <w:sz w:val="18"/>
      <w:lang w:val="en-GB" w:eastAsia="en-US" w:bidi="ar-SA"/>
    </w:rPr>
  </w:style>
  <w:style w:type="character" w:customStyle="1" w:styleId="133">
    <w:name w:val="Doc-text2 Char"/>
    <w:link w:val="57"/>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uiPriority w:val="0"/>
    <w:rPr>
      <w:rFonts w:ascii="Arial" w:hAnsi="Arial" w:eastAsia="宋体"/>
      <w:b/>
      <w:lang w:val="en-GB" w:eastAsia="en-US"/>
    </w:rPr>
  </w:style>
  <w:style w:type="character" w:customStyle="1" w:styleId="140">
    <w:name w:val="NO Char"/>
    <w:link w:val="65"/>
    <w:uiPriority w:val="0"/>
    <w:rPr>
      <w:lang w:val="en-GB" w:eastAsia="en-US" w:bidi="ar-SA"/>
    </w:rPr>
  </w:style>
  <w:style w:type="character" w:customStyle="1" w:styleId="141">
    <w:name w:val="Editor's Note Char"/>
    <w:link w:val="73"/>
    <w:uiPriority w:val="0"/>
    <w:rPr>
      <w:color w:val="FF0000"/>
      <w:lang w:val="en-GB" w:eastAsia="en-US" w:bidi="ar-SA"/>
    </w:rPr>
  </w:style>
  <w:style w:type="character" w:customStyle="1" w:styleId="142">
    <w:name w:val="TAL Char"/>
    <w:uiPriority w:val="0"/>
    <w:rPr>
      <w:rFonts w:ascii="Arial" w:hAnsi="Arial" w:eastAsia="宋体"/>
      <w:sz w:val="18"/>
      <w:lang w:val="en-GB" w:eastAsia="en-GB"/>
    </w:rPr>
  </w:style>
  <w:style w:type="character" w:customStyle="1" w:styleId="143">
    <w:name w:val="样式 列表 + (西文) MS Mincho Char"/>
    <w:basedOn w:val="144"/>
    <w:link w:val="95"/>
    <w:uiPriority w:val="0"/>
  </w:style>
  <w:style w:type="character" w:customStyle="1" w:styleId="144">
    <w:name w:val="列表 Char"/>
    <w:link w:val="14"/>
    <w:uiPriority w:val="0"/>
    <w:rPr>
      <w:rFonts w:eastAsia="宋体"/>
      <w:lang w:val="en-GB" w:eastAsia="en-US" w:bidi="ar-SA"/>
    </w:rPr>
  </w:style>
  <w:style w:type="character" w:customStyle="1" w:styleId="145">
    <w:name w:val="TAC Char"/>
    <w:link w:val="107"/>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uiPriority w:val="0"/>
    <w:rPr>
      <w:sz w:val="24"/>
    </w:rPr>
  </w:style>
  <w:style w:type="character" w:customStyle="1" w:styleId="148">
    <w:name w:val="yinbiao"/>
    <w:basedOn w:val="47"/>
    <w:uiPriority w:val="0"/>
  </w:style>
  <w:style w:type="character" w:customStyle="1" w:styleId="149">
    <w:name w:val="正文文本 Char"/>
    <w:link w:val="29"/>
    <w:uiPriority w:val="0"/>
    <w:rPr>
      <w:lang w:val="en-GB" w:eastAsia="en-US"/>
    </w:rPr>
  </w:style>
  <w:style w:type="character" w:customStyle="1" w:styleId="150">
    <w:name w:val="B1 Zchn"/>
    <w:uiPriority w:val="0"/>
    <w:rPr>
      <w:rFonts w:eastAsia="MS Mincho"/>
      <w:lang w:val="en-GB" w:eastAsia="en-US"/>
    </w:rPr>
  </w:style>
  <w:style w:type="character" w:customStyle="1" w:styleId="151">
    <w:name w:val="3GPP Text Char"/>
    <w:link w:val="115"/>
    <w:uiPriority w:val="0"/>
    <w:rPr>
      <w:rFonts w:eastAsia="宋体"/>
      <w:sz w:val="22"/>
      <w:lang w:eastAsia="en-US"/>
    </w:rPr>
  </w:style>
  <w:style w:type="character" w:customStyle="1" w:styleId="152">
    <w:name w:val="TH Char"/>
    <w:link w:val="99"/>
    <w:uiPriority w:val="0"/>
    <w:rPr>
      <w:rFonts w:ascii="Arial" w:hAnsi="Arial" w:eastAsia="宋体"/>
      <w:b/>
      <w:lang w:val="en-GB" w:eastAsia="en-US" w:bidi="ar-SA"/>
    </w:rPr>
  </w:style>
  <w:style w:type="character" w:customStyle="1" w:styleId="153">
    <w:name w:val="标题 2 Char"/>
    <w:link w:val="3"/>
    <w:uiPriority w:val="0"/>
    <w:rPr>
      <w:rFonts w:ascii="Arial" w:hAnsi="Arial"/>
      <w:sz w:val="28"/>
      <w:lang w:val="en-GB" w:eastAsia="en-US"/>
    </w:rPr>
  </w:style>
  <w:style w:type="character" w:customStyle="1" w:styleId="154">
    <w:name w:val="3GPP Agreements Char"/>
    <w:link w:val="55"/>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uiPriority w:val="0"/>
    <w:rPr>
      <w:lang w:val="en-GB"/>
    </w:rPr>
  </w:style>
  <w:style w:type="character" w:customStyle="1" w:styleId="163">
    <w:name w:val="首标题"/>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uiPriority w:val="0"/>
  </w:style>
  <w:style w:type="table" w:customStyle="1" w:styleId="166">
    <w:name w:val="浅色底纹 - 强调文字颜色 11"/>
    <w:basedOn w:val="43"/>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2022-08-09T08:39:53Z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